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007BC8">
      <w:pPr>
        <w:pStyle w:val="aa"/>
        <w:shd w:val="clear" w:color="auto" w:fill="FFFFFF"/>
        <w:spacing w:before="0" w:after="0"/>
        <w:jc w:val="center"/>
        <w:rPr>
          <w:color w:val="333333"/>
          <w:sz w:val="26"/>
          <w:szCs w:val="26"/>
          <w:lang w:val="uk-UA"/>
        </w:rPr>
      </w:pPr>
      <w:bookmarkStart w:id="0" w:name="_GoBack"/>
      <w:bookmarkEnd w:id="0"/>
      <w:r>
        <w:rPr>
          <w:b/>
          <w:bCs/>
          <w:sz w:val="26"/>
          <w:szCs w:val="26"/>
          <w:lang w:val="uk-UA"/>
        </w:rPr>
        <w:t>Інформаційна довідка про порядок призначення та виплати тимчасової державної соціальної допомоги непрацюючій особі, яка досягла загального пенсійного віку,</w:t>
      </w:r>
      <w:r>
        <w:rPr>
          <w:b/>
          <w:bCs/>
          <w:color w:val="333333"/>
          <w:sz w:val="26"/>
          <w:szCs w:val="26"/>
          <w:lang w:val="uk-UA"/>
        </w:rPr>
        <w:t xml:space="preserve"> але не набула права на пенсійну виплату</w:t>
      </w:r>
      <w:r>
        <w:rPr>
          <w:color w:val="333333"/>
          <w:sz w:val="26"/>
          <w:szCs w:val="26"/>
          <w:lang w:val="uk-UA"/>
        </w:rPr>
        <w:t>.</w:t>
      </w:r>
    </w:p>
    <w:p w:rsidR="00000000" w:rsidRDefault="00007BC8">
      <w:pPr>
        <w:pStyle w:val="aa"/>
        <w:shd w:val="clear" w:color="auto" w:fill="FFFFFF"/>
        <w:spacing w:before="0" w:after="0"/>
        <w:jc w:val="both"/>
        <w:rPr>
          <w:color w:val="333333"/>
          <w:sz w:val="26"/>
          <w:szCs w:val="26"/>
          <w:lang w:val="uk-UA"/>
        </w:rPr>
      </w:pPr>
    </w:p>
    <w:p w:rsidR="00000000" w:rsidRDefault="00007BC8">
      <w:pPr>
        <w:pStyle w:val="aa"/>
        <w:shd w:val="clear" w:color="auto" w:fill="FFFFFF"/>
        <w:spacing w:before="0" w:after="0"/>
        <w:jc w:val="both"/>
        <w:rPr>
          <w:rStyle w:val="a4"/>
          <w:b w:val="0"/>
          <w:color w:val="333333"/>
          <w:sz w:val="26"/>
          <w:szCs w:val="26"/>
          <w:lang w:val="uk-UA"/>
        </w:rPr>
      </w:pPr>
      <w:r>
        <w:rPr>
          <w:sz w:val="26"/>
          <w:szCs w:val="26"/>
          <w:lang w:val="uk-UA"/>
        </w:rPr>
        <w:tab/>
        <w:t xml:space="preserve">Постановою Кабінету Міністрів України </w:t>
      </w:r>
      <w:hyperlink r:id="rId4" w:anchor="_blank" w:history="1">
        <w:r>
          <w:rPr>
            <w:rStyle w:val="a3"/>
            <w:color w:val="auto"/>
            <w:sz w:val="26"/>
            <w:szCs w:val="26"/>
            <w:u w:val="none"/>
            <w:lang w:val="uk-UA"/>
          </w:rPr>
          <w:t>від 27.12.2017 №</w:t>
        </w:r>
        <w:r>
          <w:rPr>
            <w:rStyle w:val="a3"/>
            <w:color w:val="auto"/>
            <w:sz w:val="26"/>
            <w:szCs w:val="26"/>
            <w:u w:val="none"/>
          </w:rPr>
          <w:t> </w:t>
        </w:r>
        <w:r>
          <w:rPr>
            <w:rStyle w:val="a3"/>
            <w:color w:val="auto"/>
            <w:sz w:val="26"/>
            <w:szCs w:val="26"/>
            <w:u w:val="none"/>
            <w:lang w:val="uk-UA"/>
          </w:rPr>
          <w:t xml:space="preserve"> 1098</w:t>
        </w:r>
      </w:hyperlink>
      <w:r>
        <w:rPr>
          <w:sz w:val="26"/>
          <w:szCs w:val="26"/>
        </w:rPr>
        <w:t> </w:t>
      </w:r>
      <w:r>
        <w:rPr>
          <w:sz w:val="26"/>
          <w:szCs w:val="26"/>
          <w:lang w:val="uk-UA"/>
        </w:rPr>
        <w:t xml:space="preserve"> (чинна</w:t>
      </w:r>
      <w:r>
        <w:rPr>
          <w:sz w:val="26"/>
          <w:szCs w:val="26"/>
          <w:lang w:val="uk-UA"/>
        </w:rPr>
        <w:t xml:space="preserve"> з 01.01.2018) затверджено Порядок</w:t>
      </w:r>
      <w:r>
        <w:rPr>
          <w:sz w:val="26"/>
          <w:szCs w:val="26"/>
        </w:rPr>
        <w:t> </w:t>
      </w:r>
      <w:r>
        <w:rPr>
          <w:sz w:val="26"/>
          <w:szCs w:val="26"/>
          <w:lang w:val="uk-UA"/>
        </w:rPr>
        <w:t>призначення тимчасової державної соціальної допомоги непрацюючій особі, яка досягла загального пенсійного віку,</w:t>
      </w:r>
      <w:r>
        <w:rPr>
          <w:color w:val="333333"/>
          <w:sz w:val="26"/>
          <w:szCs w:val="26"/>
          <w:lang w:val="uk-UA"/>
        </w:rPr>
        <w:t xml:space="preserve"> але не набула права на пенсійну виплату.</w:t>
      </w:r>
    </w:p>
    <w:p w:rsidR="00000000" w:rsidRDefault="00007BC8">
      <w:pPr>
        <w:pStyle w:val="aa"/>
        <w:shd w:val="clear" w:color="auto" w:fill="FFFFFF"/>
        <w:spacing w:before="0" w:after="0"/>
        <w:jc w:val="both"/>
        <w:rPr>
          <w:sz w:val="26"/>
          <w:szCs w:val="26"/>
          <w:lang w:val="uk-UA"/>
        </w:rPr>
      </w:pPr>
      <w:r>
        <w:rPr>
          <w:rStyle w:val="a4"/>
          <w:b w:val="0"/>
          <w:color w:val="333333"/>
          <w:sz w:val="26"/>
          <w:szCs w:val="26"/>
          <w:lang w:val="uk-UA"/>
        </w:rPr>
        <w:tab/>
      </w:r>
      <w:r>
        <w:rPr>
          <w:rStyle w:val="a4"/>
          <w:sz w:val="26"/>
          <w:szCs w:val="26"/>
        </w:rPr>
        <w:t>Дана допомога призначатиметься у п</w:t>
      </w:r>
      <w:r>
        <w:rPr>
          <w:b/>
          <w:sz w:val="26"/>
          <w:szCs w:val="26"/>
        </w:rPr>
        <w:t>еріод з 1 січня 2018 року по 31 г</w:t>
      </w:r>
      <w:r>
        <w:rPr>
          <w:b/>
          <w:sz w:val="26"/>
          <w:szCs w:val="26"/>
        </w:rPr>
        <w:t xml:space="preserve">рудня 2020 року.  </w:t>
      </w:r>
    </w:p>
    <w:p w:rsidR="00000000" w:rsidRDefault="00007BC8">
      <w:pPr>
        <w:pStyle w:val="aa"/>
        <w:shd w:val="clear" w:color="auto" w:fill="FFFFFF"/>
        <w:spacing w:before="0" w:after="0"/>
        <w:jc w:val="both"/>
        <w:rPr>
          <w:rStyle w:val="a4"/>
          <w:szCs w:val="26"/>
        </w:rPr>
      </w:pPr>
      <w:r>
        <w:rPr>
          <w:sz w:val="26"/>
          <w:szCs w:val="26"/>
          <w:lang w:val="uk-UA"/>
        </w:rPr>
        <w:tab/>
      </w:r>
      <w:r>
        <w:rPr>
          <w:sz w:val="26"/>
          <w:szCs w:val="26"/>
        </w:rPr>
        <w:t xml:space="preserve">Соціальна допомога призначається непрацюючій особі, яка досягла пенсійного віку </w:t>
      </w:r>
      <w:r>
        <w:rPr>
          <w:sz w:val="26"/>
          <w:szCs w:val="26"/>
          <w:lang w:val="uk-UA"/>
        </w:rPr>
        <w:t xml:space="preserve">(60 років), </w:t>
      </w:r>
      <w:r>
        <w:rPr>
          <w:sz w:val="26"/>
          <w:szCs w:val="26"/>
        </w:rPr>
        <w:t>але не набула права на пенсію у зв’язку з відсутністю страхового стажу, за наявності в неї не менш як</w:t>
      </w:r>
      <w:r>
        <w:rPr>
          <w:rStyle w:val="apple-converted-space"/>
          <w:color w:val="333333"/>
          <w:sz w:val="26"/>
          <w:szCs w:val="26"/>
        </w:rPr>
        <w:t> </w:t>
      </w:r>
      <w:r>
        <w:rPr>
          <w:rStyle w:val="a4"/>
          <w:b w:val="0"/>
          <w:color w:val="333333"/>
          <w:sz w:val="26"/>
          <w:szCs w:val="26"/>
        </w:rPr>
        <w:t>15 років страхового стажу</w:t>
      </w:r>
      <w:r>
        <w:rPr>
          <w:sz w:val="26"/>
          <w:szCs w:val="26"/>
        </w:rPr>
        <w:t>.</w:t>
      </w:r>
    </w:p>
    <w:p w:rsidR="00000000" w:rsidRDefault="00007BC8">
      <w:pPr>
        <w:pStyle w:val="ab"/>
        <w:spacing w:before="0"/>
        <w:jc w:val="both"/>
        <w:rPr>
          <w:rFonts w:ascii="Times New Roman" w:hAnsi="Times New Roman" w:cs="Times New Roman"/>
          <w:b/>
        </w:rPr>
      </w:pPr>
      <w:r>
        <w:rPr>
          <w:rStyle w:val="a4"/>
          <w:rFonts w:ascii="Times New Roman" w:hAnsi="Times New Roman" w:cs="Times New Roman"/>
          <w:szCs w:val="26"/>
        </w:rPr>
        <w:tab/>
        <w:t>Розмір</w:t>
      </w:r>
      <w:r>
        <w:rPr>
          <w:rStyle w:val="apple-converted-space"/>
          <w:rFonts w:ascii="Times New Roman" w:hAnsi="Times New Roman" w:cs="Times New Roman"/>
          <w:b/>
          <w:szCs w:val="26"/>
        </w:rPr>
        <w:t> </w:t>
      </w:r>
      <w:r>
        <w:rPr>
          <w:rFonts w:ascii="Times New Roman" w:hAnsi="Times New Roman" w:cs="Times New Roman"/>
          <w:b/>
          <w:szCs w:val="26"/>
        </w:rPr>
        <w:t>тимчасо</w:t>
      </w:r>
      <w:r>
        <w:rPr>
          <w:rFonts w:ascii="Times New Roman" w:hAnsi="Times New Roman" w:cs="Times New Roman"/>
          <w:b/>
          <w:szCs w:val="26"/>
        </w:rPr>
        <w:t>вої допомоги</w:t>
      </w:r>
      <w:r>
        <w:rPr>
          <w:rFonts w:ascii="Times New Roman" w:hAnsi="Times New Roman" w:cs="Times New Roman"/>
          <w:szCs w:val="26"/>
        </w:rPr>
        <w:t xml:space="preserve"> визначається як</w:t>
      </w:r>
      <w:r>
        <w:rPr>
          <w:rStyle w:val="apple-converted-space"/>
          <w:rFonts w:ascii="Times New Roman" w:hAnsi="Times New Roman" w:cs="Times New Roman"/>
          <w:color w:val="333333"/>
          <w:szCs w:val="26"/>
        </w:rPr>
        <w:t> </w:t>
      </w:r>
      <w:r>
        <w:rPr>
          <w:rStyle w:val="a4"/>
          <w:rFonts w:ascii="Times New Roman" w:hAnsi="Times New Roman" w:cs="Times New Roman"/>
          <w:b w:val="0"/>
          <w:color w:val="333333"/>
          <w:szCs w:val="26"/>
        </w:rPr>
        <w:t>різниця між прожитковим мінімумом для осіб, які втратили працездатність, і середньомісячним сукупним доходом сім’ї в розрахунку на одну особу</w:t>
      </w:r>
      <w:r>
        <w:rPr>
          <w:rStyle w:val="apple-converted-space"/>
          <w:rFonts w:ascii="Times New Roman" w:hAnsi="Times New Roman" w:cs="Times New Roman"/>
          <w:color w:val="333333"/>
          <w:szCs w:val="26"/>
        </w:rPr>
        <w:t> </w:t>
      </w:r>
      <w:r>
        <w:rPr>
          <w:rFonts w:ascii="Times New Roman" w:hAnsi="Times New Roman" w:cs="Times New Roman"/>
          <w:szCs w:val="26"/>
        </w:rPr>
        <w:t xml:space="preserve">за попередні шість місяців, але не може перевищувати </w:t>
      </w:r>
      <w:r>
        <w:rPr>
          <w:rFonts w:ascii="Times New Roman" w:hAnsi="Times New Roman" w:cs="Times New Roman"/>
          <w:b/>
          <w:szCs w:val="26"/>
        </w:rPr>
        <w:t xml:space="preserve">100 % прожиткового мінімуму для </w:t>
      </w:r>
      <w:r>
        <w:rPr>
          <w:rFonts w:ascii="Times New Roman" w:hAnsi="Times New Roman" w:cs="Times New Roman"/>
          <w:b/>
          <w:szCs w:val="26"/>
        </w:rPr>
        <w:t>осіб, які втратили працездатність</w:t>
      </w:r>
      <w:r>
        <w:rPr>
          <w:rFonts w:ascii="Times New Roman" w:hAnsi="Times New Roman" w:cs="Times New Roman"/>
          <w:szCs w:val="26"/>
        </w:rPr>
        <w:t xml:space="preserve"> (1373 грн. – з 1 січня 2018 року). </w:t>
      </w:r>
    </w:p>
    <w:p w:rsidR="00000000" w:rsidRDefault="00007BC8">
      <w:pPr>
        <w:pStyle w:val="ab"/>
        <w:spacing w:before="0"/>
        <w:jc w:val="both"/>
        <w:rPr>
          <w:rFonts w:ascii="Times New Roman" w:hAnsi="Times New Roman" w:cs="Times New Roman"/>
          <w:b/>
          <w:szCs w:val="26"/>
        </w:rPr>
      </w:pPr>
      <w:r>
        <w:rPr>
          <w:rFonts w:ascii="Times New Roman" w:hAnsi="Times New Roman" w:cs="Times New Roman"/>
          <w:b/>
        </w:rPr>
        <w:t>Тимчасова допомога призначається з дня звернення</w:t>
      </w:r>
      <w:r>
        <w:rPr>
          <w:rFonts w:ascii="Times New Roman" w:hAnsi="Times New Roman" w:cs="Times New Roman"/>
        </w:rPr>
        <w:t xml:space="preserve"> за її призначення, у разі подання зави з усіма необхідними документами, та перераховується кожні шість місяців з урахуванням майнового ст</w:t>
      </w:r>
      <w:r>
        <w:rPr>
          <w:rFonts w:ascii="Times New Roman" w:hAnsi="Times New Roman" w:cs="Times New Roman"/>
        </w:rPr>
        <w:t>ану заявника.</w:t>
      </w:r>
    </w:p>
    <w:p w:rsidR="00000000" w:rsidRDefault="00007BC8">
      <w:pPr>
        <w:pStyle w:val="ab"/>
        <w:spacing w:before="0"/>
        <w:jc w:val="both"/>
        <w:rPr>
          <w:rFonts w:ascii="Times New Roman" w:hAnsi="Times New Roman" w:cs="Times New Roman"/>
          <w:b/>
          <w:szCs w:val="26"/>
        </w:rPr>
      </w:pPr>
      <w:r>
        <w:rPr>
          <w:rFonts w:ascii="Times New Roman" w:hAnsi="Times New Roman" w:cs="Times New Roman"/>
          <w:b/>
          <w:szCs w:val="26"/>
        </w:rPr>
        <w:t>Для призначення тимчасової допомоги особа</w:t>
      </w:r>
      <w:r>
        <w:rPr>
          <w:rFonts w:ascii="Times New Roman" w:hAnsi="Times New Roman" w:cs="Times New Roman"/>
          <w:szCs w:val="26"/>
        </w:rPr>
        <w:t xml:space="preserve"> подає до органу соціального захисту населення: заяву; документ, що посвідчує особу; інформацію про адресу зареєстрованого місця проживання (адресу місця фактичного проживання); документ про присвоєння</w:t>
      </w:r>
      <w:r>
        <w:rPr>
          <w:rFonts w:ascii="Times New Roman" w:hAnsi="Times New Roman" w:cs="Times New Roman"/>
          <w:szCs w:val="26"/>
        </w:rPr>
        <w:t xml:space="preserve"> реєстраційного номера облікової картки платника податків; довідку про наявний страховий стаж, видану органами Пенсійного фонду України; декларацію про доходи та майновий стан. </w:t>
      </w:r>
    </w:p>
    <w:p w:rsidR="00000000" w:rsidRDefault="00007BC8">
      <w:pPr>
        <w:pStyle w:val="ab"/>
        <w:spacing w:before="0"/>
        <w:jc w:val="both"/>
        <w:rPr>
          <w:rFonts w:ascii="Times New Roman" w:hAnsi="Times New Roman" w:cs="Times New Roman"/>
          <w:szCs w:val="26"/>
        </w:rPr>
      </w:pPr>
      <w:r>
        <w:rPr>
          <w:rFonts w:ascii="Times New Roman" w:hAnsi="Times New Roman" w:cs="Times New Roman"/>
          <w:b/>
          <w:szCs w:val="26"/>
        </w:rPr>
        <w:t>Тимчасова допомога не призначається у разі, коли:</w:t>
      </w:r>
    </w:p>
    <w:p w:rsidR="00000000" w:rsidRDefault="00007BC8">
      <w:pPr>
        <w:pStyle w:val="ab"/>
        <w:spacing w:before="0"/>
        <w:jc w:val="both"/>
        <w:rPr>
          <w:rFonts w:ascii="Times New Roman" w:hAnsi="Times New Roman" w:cs="Times New Roman"/>
          <w:szCs w:val="26"/>
        </w:rPr>
      </w:pPr>
      <w:r>
        <w:rPr>
          <w:rFonts w:ascii="Times New Roman" w:hAnsi="Times New Roman" w:cs="Times New Roman"/>
          <w:szCs w:val="26"/>
        </w:rPr>
        <w:t>середньомісячний сукупний до</w:t>
      </w:r>
      <w:r>
        <w:rPr>
          <w:rFonts w:ascii="Times New Roman" w:hAnsi="Times New Roman" w:cs="Times New Roman"/>
          <w:szCs w:val="26"/>
        </w:rPr>
        <w:t>хід сім’ї в розрахунку на одну особу за попередні шість місяців перевищує 100 відсотків прожиткового мінімуму для осіб, які втратили працездатність (1373 грн.);</w:t>
      </w:r>
    </w:p>
    <w:p w:rsidR="00000000" w:rsidRDefault="00007BC8">
      <w:pPr>
        <w:pStyle w:val="ab"/>
        <w:spacing w:before="0"/>
        <w:jc w:val="both"/>
        <w:rPr>
          <w:rFonts w:ascii="Times New Roman" w:hAnsi="Times New Roman" w:cs="Times New Roman"/>
          <w:szCs w:val="26"/>
        </w:rPr>
      </w:pPr>
      <w:r>
        <w:rPr>
          <w:rFonts w:ascii="Times New Roman" w:hAnsi="Times New Roman" w:cs="Times New Roman"/>
          <w:szCs w:val="26"/>
        </w:rPr>
        <w:t xml:space="preserve">особа одержує пенсію або державну соціальну допомогу, що призначається відповідно до </w:t>
      </w:r>
      <w:hyperlink r:id="rId5" w:anchor="_blank" w:history="1">
        <w:r>
          <w:rPr>
            <w:rStyle w:val="a3"/>
            <w:rFonts w:ascii="Times New Roman" w:hAnsi="Times New Roman" w:cs="Times New Roman"/>
            <w:szCs w:val="26"/>
          </w:rPr>
          <w:t>Законів України</w:t>
        </w:r>
      </w:hyperlink>
      <w:r>
        <w:rPr>
          <w:rFonts w:ascii="Times New Roman" w:hAnsi="Times New Roman" w:cs="Times New Roman"/>
          <w:szCs w:val="26"/>
        </w:rPr>
        <w:t xml:space="preserve"> «Про державну соціальну допомогу інвалідам з дитинства та дітям-інвалідам» або «Про державну соціальну допомогу особам, які не мають права на пенсію, та особам з інвалідністю»;</w:t>
      </w:r>
    </w:p>
    <w:p w:rsidR="00000000" w:rsidRDefault="00007BC8">
      <w:pPr>
        <w:pStyle w:val="ab"/>
        <w:spacing w:before="0"/>
        <w:jc w:val="both"/>
        <w:rPr>
          <w:rFonts w:ascii="Times New Roman" w:hAnsi="Times New Roman" w:cs="Times New Roman"/>
          <w:szCs w:val="26"/>
        </w:rPr>
      </w:pPr>
      <w:r>
        <w:rPr>
          <w:rFonts w:ascii="Times New Roman" w:hAnsi="Times New Roman" w:cs="Times New Roman"/>
          <w:szCs w:val="26"/>
        </w:rPr>
        <w:t>осо</w:t>
      </w:r>
      <w:r>
        <w:rPr>
          <w:rFonts w:ascii="Times New Roman" w:hAnsi="Times New Roman" w:cs="Times New Roman"/>
          <w:szCs w:val="26"/>
        </w:rPr>
        <w:t>ба або члени її сім’ї протягом 12 місяців перед зверненням за наданням тимчасової допомоги здійснили покупку, на суму, яка на дату купівлі (оплати) перевищує 50 тис. гривень;</w:t>
      </w:r>
    </w:p>
    <w:p w:rsidR="00000000" w:rsidRDefault="00007BC8">
      <w:pPr>
        <w:pStyle w:val="ab"/>
        <w:spacing w:before="0"/>
        <w:jc w:val="both"/>
        <w:rPr>
          <w:rFonts w:ascii="Times New Roman" w:hAnsi="Times New Roman" w:cs="Times New Roman"/>
          <w:szCs w:val="26"/>
        </w:rPr>
      </w:pPr>
      <w:r>
        <w:rPr>
          <w:rFonts w:ascii="Times New Roman" w:hAnsi="Times New Roman" w:cs="Times New Roman"/>
          <w:szCs w:val="26"/>
        </w:rPr>
        <w:t>особа працює, або провадить іншу діяльність, та отримує дохід;</w:t>
      </w:r>
    </w:p>
    <w:p w:rsidR="00000000" w:rsidRDefault="00007BC8">
      <w:pPr>
        <w:pStyle w:val="ab"/>
        <w:spacing w:before="0"/>
        <w:jc w:val="both"/>
        <w:rPr>
          <w:rFonts w:ascii="Times New Roman" w:hAnsi="Times New Roman" w:cs="Times New Roman"/>
          <w:szCs w:val="26"/>
        </w:rPr>
      </w:pPr>
      <w:r>
        <w:rPr>
          <w:rFonts w:ascii="Times New Roman" w:hAnsi="Times New Roman" w:cs="Times New Roman"/>
          <w:szCs w:val="26"/>
        </w:rPr>
        <w:t>за результатами ви</w:t>
      </w:r>
      <w:r>
        <w:rPr>
          <w:rFonts w:ascii="Times New Roman" w:hAnsi="Times New Roman" w:cs="Times New Roman"/>
          <w:szCs w:val="26"/>
        </w:rPr>
        <w:t xml:space="preserve">біркового обстеження матеріально-побутових умов сім’ї виявлено, що особа має додаткові джерела для існування, не зазначені у декларації про доходи та майно (здавання в найм або в оренду житлового приміщення (будинку) або його частини; члени сім’ї працюють </w:t>
      </w:r>
      <w:r>
        <w:rPr>
          <w:rFonts w:ascii="Times New Roman" w:hAnsi="Times New Roman" w:cs="Times New Roman"/>
          <w:szCs w:val="26"/>
        </w:rPr>
        <w:t>без оформлення трудових відносин; можливість отримання доходу від утримання худоби, птиці, інших тварин; дохід від народних промислів, використання наявної сільськогосподарської техніки, машин, мікроавтобусів тощо);</w:t>
      </w:r>
    </w:p>
    <w:p w:rsidR="00000000" w:rsidRDefault="00007BC8">
      <w:pPr>
        <w:pStyle w:val="ab"/>
        <w:spacing w:before="0"/>
        <w:jc w:val="both"/>
        <w:rPr>
          <w:rFonts w:ascii="Times New Roman" w:hAnsi="Times New Roman" w:cs="Times New Roman"/>
          <w:szCs w:val="26"/>
        </w:rPr>
      </w:pPr>
      <w:r>
        <w:rPr>
          <w:rFonts w:ascii="Times New Roman" w:hAnsi="Times New Roman" w:cs="Times New Roman"/>
          <w:szCs w:val="26"/>
        </w:rPr>
        <w:t xml:space="preserve">у власності особи або членів її сім’ї є </w:t>
      </w:r>
      <w:r>
        <w:rPr>
          <w:rFonts w:ascii="Times New Roman" w:hAnsi="Times New Roman" w:cs="Times New Roman"/>
          <w:szCs w:val="26"/>
        </w:rPr>
        <w:t>друга квартира (будинок) за умови, що загальна площа житла перевищує 21 кв. метр на одного члена сім’ї та додатково             10,5 кв. метра на сім’ю, чи більш як один автомобіль, інший транспортний засіб (механізм).</w:t>
      </w:r>
    </w:p>
    <w:p w:rsidR="00000000" w:rsidRDefault="00007BC8">
      <w:pPr>
        <w:pStyle w:val="ab"/>
        <w:spacing w:before="0"/>
        <w:jc w:val="both"/>
      </w:pPr>
      <w:r>
        <w:rPr>
          <w:rFonts w:ascii="Times New Roman" w:hAnsi="Times New Roman" w:cs="Times New Roman"/>
          <w:szCs w:val="26"/>
        </w:rPr>
        <w:t>За наявності вищевказаних обставин, т</w:t>
      </w:r>
      <w:r>
        <w:rPr>
          <w:rFonts w:ascii="Times New Roman" w:hAnsi="Times New Roman" w:cs="Times New Roman"/>
          <w:szCs w:val="26"/>
        </w:rPr>
        <w:t xml:space="preserve">имчасова допомога може бути призначена органом соціального захисту населення на підставі рішення комісії, якщо у складі сім’ї є особа з інвалідністю. </w:t>
      </w:r>
    </w:p>
    <w:sectPr w:rsidR="00000000">
      <w:pgSz w:w="11906" w:h="16838"/>
      <w:pgMar w:top="567" w:right="567" w:bottom="227" w:left="1701" w:header="708" w:footer="708"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CC"/>
    <w:family w:val="swiss"/>
    <w:pitch w:val="variable"/>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Antiqua">
    <w:altName w:val="Andale Mono"/>
    <w:charset w:val="00"/>
    <w:family w:val="swiss"/>
    <w:pitch w:val="variable"/>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BC8"/>
    <w:rsid w:val="00007BC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BC2510AF-A6AF-4C96-9258-36926120E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val="ru-RU"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2z0">
    <w:name w:val="WW8Num2z0"/>
    <w:rPr>
      <w:rFonts w:ascii="Symbol" w:hAnsi="Symbol" w:cs="Symbol" w:hint="default"/>
      <w:sz w:val="20"/>
    </w:rPr>
  </w:style>
  <w:style w:type="character" w:customStyle="1" w:styleId="WW8Num3z0">
    <w:name w:val="WW8Num3z0"/>
    <w:rPr>
      <w:rFonts w:ascii="Symbol" w:hAnsi="Symbol" w:cs="Symbol" w:hint="default"/>
      <w:sz w:val="20"/>
    </w:rPr>
  </w:style>
  <w:style w:type="character" w:customStyle="1" w:styleId="1">
    <w:name w:val="Основной шрифт абзаца1"/>
  </w:style>
  <w:style w:type="character" w:styleId="a3">
    <w:name w:val="Hyperlink"/>
    <w:basedOn w:val="1"/>
    <w:rPr>
      <w:color w:val="0000FF"/>
      <w:u w:val="single"/>
    </w:rPr>
  </w:style>
  <w:style w:type="character" w:customStyle="1" w:styleId="apple-converted-space">
    <w:name w:val="apple-converted-space"/>
    <w:basedOn w:val="1"/>
  </w:style>
  <w:style w:type="character" w:styleId="a4">
    <w:name w:val="Strong"/>
    <w:basedOn w:val="1"/>
    <w:qFormat/>
    <w:rPr>
      <w:b/>
      <w:bCs/>
    </w:rPr>
  </w:style>
  <w:style w:type="paragraph" w:customStyle="1" w:styleId="10">
    <w:name w:val="Заголовок1"/>
    <w:basedOn w:val="a"/>
    <w:next w:val="a5"/>
    <w:pPr>
      <w:keepNext/>
      <w:spacing w:before="240" w:after="120"/>
    </w:pPr>
    <w:rPr>
      <w:rFonts w:ascii="Liberation Sans" w:eastAsia="Arial Unicode MS"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customStyle="1" w:styleId="a7">
    <w:name w:val="Название"/>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a8">
    <w:name w:val="Розділ"/>
    <w:basedOn w:val="a"/>
    <w:pPr>
      <w:suppressLineNumbers/>
      <w:spacing w:before="120" w:after="120"/>
    </w:pPr>
    <w:rPr>
      <w:rFonts w:cs="Mangal"/>
      <w:i/>
      <w:iCs/>
    </w:rPr>
  </w:style>
  <w:style w:type="paragraph" w:customStyle="1" w:styleId="a9">
    <w:name w:val="Покажчик"/>
    <w:basedOn w:val="a"/>
    <w:pPr>
      <w:suppressLineNumbers/>
    </w:pPr>
    <w:rPr>
      <w:rFonts w:cs="Mangal"/>
    </w:rPr>
  </w:style>
  <w:style w:type="paragraph" w:styleId="aa">
    <w:name w:val="Normal (Web)"/>
    <w:basedOn w:val="a"/>
    <w:pPr>
      <w:spacing w:before="280" w:after="280"/>
    </w:pPr>
  </w:style>
  <w:style w:type="paragraph" w:customStyle="1" w:styleId="ab">
    <w:name w:val="Нормальний текст"/>
    <w:basedOn w:val="a"/>
    <w:pPr>
      <w:spacing w:before="120"/>
      <w:ind w:firstLine="567"/>
    </w:pPr>
    <w:rPr>
      <w:rFonts w:ascii="Antiqua" w:hAnsi="Antiqua" w:cs="Antiqua"/>
      <w:sz w:val="26"/>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2.rada.gov.ua/laws/show/2109-14" TargetMode="External"/><Relationship Id="rId4" Type="http://schemas.openxmlformats.org/officeDocument/2006/relationships/hyperlink" Target="https://www.kmu.gov.ua/ua/npas/pro-zatverdzhennya-poryadku-priznachennya-timchasovoyi-derzhavnoyi-socialnoyi-dopomogi-nepracyuyuchij-osobi-yaka-dosyagla-zagalnogo-pensijnogo-viku-ale-ne-nabula-prava-na-pensijnu-viplat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2378</Words>
  <Characters>1357</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Інформаційна довідка про порядок призначення та виплати тимчасової державної соціальної допомоги непрацюючій особі, яка досягла загального пенсійного віку, але не набула права на пенсійну виплату</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довідка про порядок призначення та виплати тимчасової державної соціальної допомоги непрацюючій особі, яка досягла загального пенсійного віку, але не набула права на пенсійну виплату</dc:title>
  <dc:subject/>
  <dc:creator>pk</dc:creator>
  <cp:keywords/>
  <cp:lastModifiedBy>mom_2008@ukr.net</cp:lastModifiedBy>
  <cp:revision>2</cp:revision>
  <cp:lastPrinted>2018-01-19T08:52:00Z</cp:lastPrinted>
  <dcterms:created xsi:type="dcterms:W3CDTF">2019-08-07T09:29:00Z</dcterms:created>
  <dcterms:modified xsi:type="dcterms:W3CDTF">2019-08-07T09:29:00Z</dcterms:modified>
</cp:coreProperties>
</file>