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Тверде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паливо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у зв’язку із необхідністю </w:t>
      </w:r>
      <w:r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необхідного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теплового режиму у комунальних закладазх Смідинської сільської ради під час опалювального сезону.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320000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320000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"https://prozorro.gov.ua/tender/UA-2020-01-16-001246-b"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https://prozorro.gov.ua/tender/UA-2020-01-16-001246-b</w:t>
      </w:r>
      <w:r>
        <w:rPr>
          <w:rFonts w:hint="default"/>
        </w:rPr>
        <w:fldChar w:fldCharType="end"/>
      </w:r>
    </w:p>
    <w:p>
      <w:pPr>
        <w:spacing w:after="0" w:line="240" w:lineRule="auto"/>
        <w:ind w:firstLine="426"/>
        <w:jc w:val="both"/>
        <w:rPr>
          <w:rFonts w:hint="default"/>
        </w:rPr>
      </w:pP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2C47E77"/>
    <w:rsid w:val="58896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27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2021-09-23T09:01:42Z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D3A9042D23F9486A9BDD27E1954A2783</vt:lpwstr>
  </property>
</Properties>
</file>