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6B61" w:rsidRDefault="007A6B61" w:rsidP="00851F48">
      <w:pPr>
        <w:spacing w:after="0" w:line="240" w:lineRule="auto"/>
        <w:ind w:firstLine="426"/>
        <w:jc w:val="both"/>
        <w:rPr>
          <w:rFonts w:ascii="Times New Roman" w:hAnsi="Times New Roman"/>
          <w:b/>
          <w:sz w:val="28"/>
          <w:szCs w:val="28"/>
        </w:rPr>
      </w:pPr>
      <w:r w:rsidRPr="007A6B61">
        <w:rPr>
          <w:rFonts w:ascii="Times New Roman" w:hAnsi="Times New Roman"/>
          <w:b/>
          <w:sz w:val="28"/>
          <w:szCs w:val="28"/>
        </w:rPr>
        <w:t>Капітальний ремонт (заміна вікон та дверей) в Паридубівській школі-філії ОНЗ "ЗОШ І-ІІІ ступеня с. Смідин" по вул. Лесі Українки, 8 у селі Паридуби Ковельського району Волинської області</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 xml:space="preserve">Технічні та якісні характеристики предмета закупівлі визначені відповідно до затвердженої проектно-кошторисної документації та експертного звіту.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Технічні, якісні та кількісні характеристики предмета закупівлі визначені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Розміру бюджетного призначення складає – </w:t>
      </w:r>
      <w:r w:rsidR="004C1EDB">
        <w:rPr>
          <w:rFonts w:ascii="Times New Roman" w:hAnsi="Times New Roman"/>
          <w:sz w:val="28"/>
          <w:szCs w:val="28"/>
        </w:rPr>
        <w:t>4</w:t>
      </w:r>
      <w:r w:rsidR="007A6B61">
        <w:rPr>
          <w:rFonts w:ascii="Times New Roman" w:hAnsi="Times New Roman"/>
          <w:sz w:val="28"/>
          <w:szCs w:val="28"/>
        </w:rPr>
        <w:t>37472</w:t>
      </w:r>
      <w:r w:rsidR="00A50189">
        <w:rPr>
          <w:rFonts w:ascii="Times New Roman" w:hAnsi="Times New Roman"/>
          <w:sz w:val="28"/>
          <w:szCs w:val="28"/>
        </w:rPr>
        <w:t>.</w:t>
      </w:r>
      <w:r>
        <w:rPr>
          <w:rFonts w:ascii="Times New Roman" w:hAnsi="Times New Roman"/>
          <w:sz w:val="28"/>
          <w:szCs w:val="28"/>
        </w:rPr>
        <w:t>00 грн.</w:t>
      </w: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Очікувана вартість становить – 4</w:t>
      </w:r>
      <w:r w:rsidR="007A6B61">
        <w:rPr>
          <w:rFonts w:ascii="Times New Roman" w:hAnsi="Times New Roman"/>
          <w:sz w:val="28"/>
          <w:szCs w:val="28"/>
        </w:rPr>
        <w:t>37472</w:t>
      </w:r>
      <w:r>
        <w:rPr>
          <w:rFonts w:ascii="Times New Roman" w:hAnsi="Times New Roman"/>
          <w:sz w:val="28"/>
          <w:szCs w:val="28"/>
        </w:rPr>
        <w:t>.00 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007A6B61" w:rsidRPr="00F90ED8">
          <w:rPr>
            <w:rStyle w:val="ad"/>
          </w:rPr>
          <w:t>https://prozorro.gov.ua/tender/UA-2021-08-27-000827-c</w:t>
        </w:r>
      </w:hyperlink>
      <w:r w:rsidR="007A6B61">
        <w:t xml:space="preserve"> </w:t>
      </w:r>
      <w:bookmarkStart w:id="0" w:name="_GoBack"/>
      <w:bookmarkEnd w:id="0"/>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796B65">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F1" w:rsidRDefault="00796B65">
      <w:pPr>
        <w:spacing w:line="240" w:lineRule="auto"/>
      </w:pPr>
      <w:r>
        <w:separator/>
      </w:r>
    </w:p>
  </w:endnote>
  <w:endnote w:type="continuationSeparator" w:id="0">
    <w:p w:rsidR="00EE47F1" w:rsidRDefault="0079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F1" w:rsidRDefault="00796B65">
      <w:pPr>
        <w:spacing w:after="0"/>
      </w:pPr>
      <w:r>
        <w:separator/>
      </w:r>
    </w:p>
  </w:footnote>
  <w:footnote w:type="continuationSeparator" w:id="0">
    <w:p w:rsidR="00EE47F1" w:rsidRDefault="00796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E552D"/>
    <w:rsid w:val="006F50BE"/>
    <w:rsid w:val="00700CDE"/>
    <w:rsid w:val="00706485"/>
    <w:rsid w:val="00723B16"/>
    <w:rsid w:val="00733012"/>
    <w:rsid w:val="007463BC"/>
    <w:rsid w:val="00756C5C"/>
    <w:rsid w:val="007625CF"/>
    <w:rsid w:val="00766244"/>
    <w:rsid w:val="00790573"/>
    <w:rsid w:val="00796B65"/>
    <w:rsid w:val="007A4C3C"/>
    <w:rsid w:val="007A6B61"/>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Название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8-27-000827-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EDCAC-7C4C-4BF5-9642-CDB6D868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Olena K</cp:lastModifiedBy>
  <cp:revision>2</cp:revision>
  <cp:lastPrinted>2019-01-14T10:46:00Z</cp:lastPrinted>
  <dcterms:created xsi:type="dcterms:W3CDTF">2021-09-23T16:33:00Z</dcterms:created>
  <dcterms:modified xsi:type="dcterms:W3CDTF">2021-09-23T16:33:00Z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