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Ламінатори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“Нова українська школа”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uk-UA"/>
        </w:rPr>
        <w:t>Виникла необхідність у постачанні додаткового обсягу товару у того самого постачальника,що здійснюється протягом трьох років після укладення договору про закупівлю і загальна вартість такого постачання не перевищує 50 відсотків ціни договору про закупівлю</w:t>
      </w:r>
      <w:r>
        <w:rPr>
          <w:rFonts w:hint="default" w:ascii="Times New Roman" w:hAnsi="Times New Roman" w:eastAsia="SimSun"/>
          <w:color w:val="auto"/>
          <w:sz w:val="28"/>
          <w:szCs w:val="28"/>
          <w:lang w:val="uk-UA"/>
        </w:rPr>
        <w:tab/>
      </w:r>
      <w:r>
        <w:rPr>
          <w:rFonts w:hint="default" w:ascii="Times New Roman" w:hAnsi="Times New Roman" w:eastAsia="SimSun"/>
          <w:color w:val="auto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3552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3552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"https://prozorro.gov.ua/tender/UA-2020-11-20-001627-b"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https://prozorro.gov.ua/tender/UA-2020-11-20-001627-b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42C47E77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2021-09-23T09:44:44Z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C2463832B5C74BC290EE931BA0C941F7</vt:lpwstr>
  </property>
</Properties>
</file>