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b w:val="1"/>
        </w:rPr>
      </w:pPr>
      <w:r w:rsidDel="00000000" w:rsidR="00000000" w:rsidRPr="00000000">
        <w:rPr>
          <w:rFonts w:ascii="Arial" w:cs="Arial" w:eastAsia="Arial" w:hAnsi="Arial"/>
          <w:b w:val="1"/>
          <w:rtl w:val="0"/>
        </w:rPr>
        <w:t xml:space="preserve">Додаток 1 </w:t>
      </w:r>
    </w:p>
    <w:p w:rsidR="00000000" w:rsidDel="00000000" w:rsidP="00000000" w:rsidRDefault="00000000" w:rsidRPr="00000000" w14:paraId="00000002">
      <w:pPr>
        <w:jc w:val="right"/>
        <w:rPr>
          <w:rFonts w:ascii="Arial" w:cs="Arial" w:eastAsia="Arial" w:hAnsi="Arial"/>
          <w:b w:val="1"/>
        </w:rPr>
      </w:pPr>
      <w:r w:rsidDel="00000000" w:rsidR="00000000" w:rsidRPr="00000000">
        <w:rPr>
          <w:rFonts w:ascii="Arial" w:cs="Arial" w:eastAsia="Arial" w:hAnsi="Arial"/>
          <w:b w:val="1"/>
          <w:rtl w:val="0"/>
        </w:rPr>
        <w:t xml:space="preserve">до рішення сільської ради</w:t>
      </w:r>
    </w:p>
    <w:p w:rsidR="00000000" w:rsidDel="00000000" w:rsidP="00000000" w:rsidRDefault="00000000" w:rsidRPr="00000000" w14:paraId="00000003">
      <w:pPr>
        <w:rPr>
          <w:rFonts w:ascii="Arial" w:cs="Arial" w:eastAsia="Arial" w:hAnsi="Arial"/>
          <w:b w:val="1"/>
        </w:rPr>
      </w:pPr>
      <w:r w:rsidDel="00000000" w:rsidR="00000000" w:rsidRPr="00000000">
        <w:rPr>
          <w:rtl w:val="0"/>
        </w:rPr>
      </w:r>
    </w:p>
    <w:p w:rsidR="00000000" w:rsidDel="00000000" w:rsidP="00000000" w:rsidRDefault="00000000" w:rsidRPr="00000000" w14:paraId="00000004">
      <w:pPr>
        <w:rPr>
          <w:rFonts w:ascii="Arial" w:cs="Arial" w:eastAsia="Arial" w:hAnsi="Arial"/>
          <w:b w:val="1"/>
          <w:i w:val="0"/>
          <w:smallCaps w:val="0"/>
          <w:strike w:val="0"/>
          <w:color w:val="0070c0"/>
          <w:sz w:val="22"/>
          <w:szCs w:val="22"/>
          <w:u w:val="none"/>
          <w:shd w:fill="auto" w:val="clear"/>
          <w:vertAlign w:val="baseline"/>
        </w:rPr>
      </w:pPr>
      <w:r w:rsidDel="00000000" w:rsidR="00000000" w:rsidRPr="00000000">
        <w:rPr>
          <w:rFonts w:ascii="Arial" w:cs="Arial" w:eastAsia="Arial" w:hAnsi="Arial"/>
          <w:b w:val="1"/>
          <w:rtl w:val="0"/>
        </w:rPr>
        <w:t xml:space="preserve">       </w:t>
      </w:r>
      <w:r w:rsidDel="00000000" w:rsidR="00000000" w:rsidRPr="00000000">
        <w:rPr>
          <w:rtl w:val="0"/>
        </w:rPr>
      </w:r>
    </w:p>
    <w:tbl>
      <w:tblPr>
        <w:tblStyle w:val="Table1"/>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2410"/>
        <w:gridCol w:w="5636"/>
        <w:tblGridChange w:id="0">
          <w:tblGrid>
            <w:gridCol w:w="1809"/>
            <w:gridCol w:w="2410"/>
            <w:gridCol w:w="5636"/>
          </w:tblGrid>
        </w:tblGridChange>
      </w:tblGrid>
      <w:tr>
        <w:trPr>
          <w:cantSplit w:val="0"/>
          <w:trHeight w:val="364" w:hRule="atLeast"/>
          <w:tblHeader w:val="0"/>
        </w:trPr>
        <w:tc>
          <w:tcPr>
            <w:shd w:fill="548dd4" w:val="clear"/>
          </w:tcPr>
          <w:p w:rsidR="00000000" w:rsidDel="00000000" w:rsidP="00000000" w:rsidRDefault="00000000" w:rsidRPr="00000000" w14:paraId="00000005">
            <w:pPr>
              <w:spacing w:after="0" w:line="240" w:lineRule="auto"/>
              <w:jc w:val="center"/>
              <w:rPr>
                <w:rFonts w:ascii="Arial" w:cs="Arial" w:eastAsia="Arial" w:hAnsi="Arial"/>
                <w:b w:val="1"/>
                <w:color w:val="002060"/>
              </w:rPr>
            </w:pPr>
            <w:r w:rsidDel="00000000" w:rsidR="00000000" w:rsidRPr="00000000">
              <w:rPr>
                <w:rFonts w:ascii="Arial" w:cs="Arial" w:eastAsia="Arial" w:hAnsi="Arial"/>
                <w:b w:val="1"/>
                <w:color w:val="002060"/>
                <w:rtl w:val="0"/>
              </w:rPr>
              <w:t xml:space="preserve">Стратегічнa ціль D.</w:t>
            </w:r>
          </w:p>
        </w:tc>
        <w:tc>
          <w:tcPr>
            <w:shd w:fill="b8cce4" w:val="clear"/>
          </w:tcPr>
          <w:p w:rsidR="00000000" w:rsidDel="00000000" w:rsidP="00000000" w:rsidRDefault="00000000" w:rsidRPr="00000000" w14:paraId="00000006">
            <w:pPr>
              <w:spacing w:after="0" w:line="240" w:lineRule="auto"/>
              <w:jc w:val="center"/>
              <w:rPr>
                <w:rFonts w:ascii="Arial" w:cs="Arial" w:eastAsia="Arial" w:hAnsi="Arial"/>
                <w:b w:val="1"/>
                <w:color w:val="002060"/>
              </w:rPr>
            </w:pPr>
            <w:r w:rsidDel="00000000" w:rsidR="00000000" w:rsidRPr="00000000">
              <w:rPr>
                <w:rFonts w:ascii="Arial" w:cs="Arial" w:eastAsia="Arial" w:hAnsi="Arial"/>
                <w:b w:val="1"/>
                <w:color w:val="002060"/>
                <w:rtl w:val="0"/>
              </w:rPr>
              <w:t xml:space="preserve">Операційні цілі</w:t>
            </w:r>
          </w:p>
        </w:tc>
        <w:tc>
          <w:tcPr>
            <w:shd w:fill="dbe5f1" w:val="clear"/>
          </w:tcPr>
          <w:p w:rsidR="00000000" w:rsidDel="00000000" w:rsidP="00000000" w:rsidRDefault="00000000" w:rsidRPr="00000000" w14:paraId="00000007">
            <w:pPr>
              <w:spacing w:after="0" w:line="240" w:lineRule="auto"/>
              <w:jc w:val="center"/>
              <w:rPr>
                <w:rFonts w:ascii="Arial" w:cs="Arial" w:eastAsia="Arial" w:hAnsi="Arial"/>
                <w:b w:val="1"/>
                <w:color w:val="002060"/>
              </w:rPr>
            </w:pPr>
            <w:r w:rsidDel="00000000" w:rsidR="00000000" w:rsidRPr="00000000">
              <w:rPr>
                <w:rFonts w:ascii="Arial" w:cs="Arial" w:eastAsia="Arial" w:hAnsi="Arial"/>
                <w:b w:val="1"/>
                <w:color w:val="002060"/>
                <w:rtl w:val="0"/>
              </w:rPr>
              <w:t xml:space="preserve">Завдання</w:t>
            </w:r>
          </w:p>
        </w:tc>
      </w:tr>
      <w:tr>
        <w:trPr>
          <w:cantSplit w:val="0"/>
          <w:trHeight w:val="426" w:hRule="atLeast"/>
          <w:tblHeader w:val="0"/>
        </w:trPr>
        <w:tc>
          <w:tcPr>
            <w:vMerge w:val="restart"/>
            <w:shd w:fill="548dd4" w:val="clear"/>
          </w:tcPr>
          <w:p w:rsidR="00000000" w:rsidDel="00000000" w:rsidP="00000000" w:rsidRDefault="00000000" w:rsidRPr="00000000" w14:paraId="00000008">
            <w:pPr>
              <w:spacing w:after="0" w:line="360" w:lineRule="auto"/>
              <w:rPr>
                <w:rFonts w:ascii="Arial" w:cs="Arial" w:eastAsia="Arial" w:hAnsi="Arial"/>
              </w:rPr>
            </w:pPr>
            <w:r w:rsidDel="00000000" w:rsidR="00000000" w:rsidRPr="00000000">
              <w:rPr>
                <w:b w:val="1"/>
                <w:color w:val="ffffff"/>
                <w:sz w:val="24"/>
                <w:szCs w:val="24"/>
                <w:rtl w:val="0"/>
              </w:rPr>
              <w:t xml:space="preserve">ФОРМУВАННЯ ЕКОЛОГІЧНО ЧИСТОЇ І БЕЗПЕЧНОЇ ГРОМАДИ</w:t>
            </w:r>
            <w:r w:rsidDel="00000000" w:rsidR="00000000" w:rsidRPr="00000000">
              <w:rPr>
                <w:rFonts w:ascii="Arial" w:cs="Arial" w:eastAsia="Arial" w:hAnsi="Arial"/>
                <w:color w:val="ffffff"/>
                <w:rtl w:val="0"/>
              </w:rPr>
              <w:t xml:space="preserve"> </w:t>
            </w:r>
            <w:r w:rsidDel="00000000" w:rsidR="00000000" w:rsidRPr="00000000">
              <w:rPr>
                <w:rtl w:val="0"/>
              </w:rPr>
            </w:r>
          </w:p>
        </w:tc>
        <w:tc>
          <w:tcPr>
            <w:vMerge w:val="restart"/>
            <w:shd w:fill="b8cce4" w:val="cle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4.1.Екологічне та  економічно вигідне поводження з відходами </w:t>
            </w:r>
            <w:r w:rsidDel="00000000" w:rsidR="00000000" w:rsidRPr="00000000">
              <w:rPr>
                <w:rtl w:val="0"/>
              </w:rPr>
            </w:r>
          </w:p>
        </w:tc>
        <w:tc>
          <w:tcPr>
            <w:shd w:fill="dbe5f1" w:val="clear"/>
          </w:tcPr>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4.1.1.  Запровадження роздільного збору сміття, а саме  ресурсо-цінних компонентів</w:t>
            </w:r>
          </w:p>
        </w:tc>
      </w:tr>
      <w:tr>
        <w:trPr>
          <w:cantSplit w:val="0"/>
          <w:trHeight w:val="426" w:hRule="atLeast"/>
          <w:tblHeader w:val="0"/>
        </w:trPr>
        <w:tc>
          <w:tcPr>
            <w:vMerge w:val="continue"/>
            <w:shd w:fill="548dd4" w:val="clea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b8cce4" w:val="clea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be5f1" w:val="clear"/>
          </w:tcPr>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4.1.2. Запровадження практик компостування в приватних садибах і комунальних закладах</w:t>
            </w:r>
          </w:p>
        </w:tc>
      </w:tr>
      <w:tr>
        <w:trPr>
          <w:cantSplit w:val="0"/>
          <w:trHeight w:val="216" w:hRule="atLeast"/>
          <w:tblHeader w:val="0"/>
        </w:trPr>
        <w:tc>
          <w:tcPr>
            <w:vMerge w:val="continue"/>
            <w:shd w:fill="548dd4" w:val="cle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b8cce4" w:val="clea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be5f1" w:val="clear"/>
          </w:tcPr>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4.1.3. Налагодження співпраці з сусідніми громадами з метою спільного сортування та забезпечення системи збору і вивезення ТПВ</w:t>
            </w:r>
          </w:p>
        </w:tc>
      </w:tr>
      <w:tr>
        <w:trPr>
          <w:cantSplit w:val="0"/>
          <w:trHeight w:val="456" w:hRule="atLeast"/>
          <w:tblHeader w:val="0"/>
        </w:trPr>
        <w:tc>
          <w:tcPr>
            <w:vMerge w:val="continue"/>
            <w:shd w:fill="548dd4" w:val="clea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b8cce4" w:val="clea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be5f1" w:val="clear"/>
          </w:tcPr>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4.1.4. Розробка схеми санітарного очищення громади</w:t>
            </w:r>
          </w:p>
        </w:tc>
      </w:tr>
      <w:tr>
        <w:trPr>
          <w:cantSplit w:val="0"/>
          <w:trHeight w:val="192" w:hRule="atLeast"/>
          <w:tblHeader w:val="0"/>
        </w:trPr>
        <w:tc>
          <w:tcPr>
            <w:vMerge w:val="continue"/>
            <w:shd w:fill="548dd4" w:val="cle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b8cce4" w:val="cle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be5f1" w:val="clear"/>
          </w:tcPr>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4.1.5.  Проведення робіт з утримання паспортизованих сміттєзвалищ,  ліквідація стихійних сміттєзвалищ та їх рекультивація</w:t>
            </w:r>
          </w:p>
        </w:tc>
      </w:tr>
      <w:tr>
        <w:trPr>
          <w:cantSplit w:val="0"/>
          <w:tblHeader w:val="0"/>
        </w:trPr>
        <w:tc>
          <w:tcPr>
            <w:vMerge w:val="continue"/>
            <w:shd w:fill="548dd4"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restart"/>
            <w:shd w:fill="b8cce4"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4.2. Розвиток системи благоустрою громади</w:t>
            </w:r>
          </w:p>
        </w:tc>
        <w:tc>
          <w:tcPr>
            <w:shd w:fill="dbe5f1" w:val="clear"/>
          </w:tcPr>
          <w:p w:rsidR="00000000" w:rsidDel="00000000" w:rsidP="00000000" w:rsidRDefault="00000000" w:rsidRPr="00000000" w14:paraId="00000019">
            <w:pPr>
              <w:spacing w:after="0" w:line="360" w:lineRule="auto"/>
              <w:rPr>
                <w:rFonts w:ascii="Arial" w:cs="Arial" w:eastAsia="Arial" w:hAnsi="Arial"/>
              </w:rPr>
            </w:pPr>
            <w:r w:rsidDel="00000000" w:rsidR="00000000" w:rsidRPr="00000000">
              <w:rPr>
                <w:rFonts w:ascii="Arial" w:cs="Arial" w:eastAsia="Arial" w:hAnsi="Arial"/>
                <w:rtl w:val="0"/>
              </w:rPr>
              <w:t xml:space="preserve">4.2.1 Актуалізація  правил благоустрою ТГ та  заходів для  їх дотримання.</w:t>
            </w:r>
          </w:p>
        </w:tc>
      </w:tr>
      <w:tr>
        <w:trPr>
          <w:cantSplit w:val="0"/>
          <w:tblHeader w:val="0"/>
        </w:trPr>
        <w:tc>
          <w:tcPr>
            <w:vMerge w:val="continue"/>
            <w:shd w:fill="548dd4" w:val="cle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b8cce4" w:val="cle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be5f1" w:val="clear"/>
          </w:tcPr>
          <w:p w:rsidR="00000000" w:rsidDel="00000000" w:rsidP="00000000" w:rsidRDefault="00000000" w:rsidRPr="00000000" w14:paraId="0000001C">
            <w:pPr>
              <w:spacing w:after="0" w:line="360" w:lineRule="auto"/>
              <w:rPr>
                <w:rFonts w:ascii="Arial" w:cs="Arial" w:eastAsia="Arial" w:hAnsi="Arial"/>
              </w:rPr>
            </w:pPr>
            <w:r w:rsidDel="00000000" w:rsidR="00000000" w:rsidRPr="00000000">
              <w:rPr>
                <w:rFonts w:ascii="Arial" w:cs="Arial" w:eastAsia="Arial" w:hAnsi="Arial"/>
                <w:rtl w:val="0"/>
              </w:rPr>
              <w:t xml:space="preserve">4.2.2. Боротьба з карантинним рослинами</w:t>
            </w:r>
          </w:p>
          <w:p w:rsidR="00000000" w:rsidDel="00000000" w:rsidP="00000000" w:rsidRDefault="00000000" w:rsidRPr="00000000" w14:paraId="0000001D">
            <w:pPr>
              <w:spacing w:after="0" w:line="360" w:lineRule="auto"/>
              <w:rPr>
                <w:rFonts w:ascii="Arial" w:cs="Arial" w:eastAsia="Arial" w:hAnsi="Arial"/>
              </w:rPr>
            </w:pPr>
            <w:r w:rsidDel="00000000" w:rsidR="00000000" w:rsidRPr="00000000">
              <w:rPr>
                <w:rtl w:val="0"/>
              </w:rPr>
            </w:r>
          </w:p>
        </w:tc>
      </w:tr>
      <w:tr>
        <w:trPr>
          <w:cantSplit w:val="0"/>
          <w:tblHeader w:val="0"/>
        </w:trPr>
        <w:tc>
          <w:tcPr>
            <w:vMerge w:val="continue"/>
            <w:shd w:fill="548dd4" w:val="clea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restart"/>
            <w:shd w:fill="b8cce4" w:val="clear"/>
          </w:tcPr>
          <w:p w:rsidR="00000000" w:rsidDel="00000000" w:rsidP="00000000" w:rsidRDefault="00000000" w:rsidRPr="00000000" w14:paraId="0000001F">
            <w:pPr>
              <w:spacing w:after="0" w:line="360" w:lineRule="auto"/>
              <w:rPr>
                <w:rFonts w:ascii="Arial" w:cs="Arial" w:eastAsia="Arial" w:hAnsi="Arial"/>
              </w:rPr>
            </w:pPr>
            <w:r w:rsidDel="00000000" w:rsidR="00000000" w:rsidRPr="00000000">
              <w:rPr>
                <w:rFonts w:ascii="Arial" w:cs="Arial" w:eastAsia="Arial" w:hAnsi="Arial"/>
                <w:rtl w:val="0"/>
              </w:rPr>
              <w:t xml:space="preserve">4.3. Розвиток ефективної системи екологічної освіти</w:t>
            </w:r>
          </w:p>
        </w:tc>
        <w:tc>
          <w:tcPr>
            <w:shd w:fill="dbe5f1" w:val="cle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4.3.1. Проведення інформаційно-просвітницької роботи  для підвищення екологічної свідомості, зміни поведінки та запровадження практик  щодо  роздільного збору сміття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Merge w:val="continue"/>
            <w:shd w:fill="548dd4" w:val="clea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b8cce4" w:val="cle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dbe5f1" w:val="clear"/>
          </w:tcPr>
          <w:p w:rsidR="00000000" w:rsidDel="00000000" w:rsidP="00000000" w:rsidRDefault="00000000" w:rsidRPr="00000000" w14:paraId="00000024">
            <w:pPr>
              <w:spacing w:after="0" w:line="360" w:lineRule="auto"/>
              <w:rPr>
                <w:rFonts w:ascii="Arial" w:cs="Arial" w:eastAsia="Arial" w:hAnsi="Arial"/>
              </w:rPr>
            </w:pPr>
            <w:r w:rsidDel="00000000" w:rsidR="00000000" w:rsidRPr="00000000">
              <w:rPr>
                <w:rFonts w:ascii="Arial" w:cs="Arial" w:eastAsia="Arial" w:hAnsi="Arial"/>
                <w:rtl w:val="0"/>
              </w:rPr>
              <w:t xml:space="preserve">4.3.2. Проведення інформаційно-просвітницької роботи  з питань охорони довкілля серед населення</w:t>
            </w:r>
          </w:p>
        </w:tc>
      </w:tr>
    </w:tbl>
    <w:p w:rsidR="00000000" w:rsidDel="00000000" w:rsidP="00000000" w:rsidRDefault="00000000" w:rsidRPr="00000000" w14:paraId="00000025">
      <w:pPr>
        <w:rPr>
          <w:rFonts w:ascii="Arial" w:cs="Arial" w:eastAsia="Arial" w:hAnsi="Arial"/>
          <w:b w:val="1"/>
          <w:sz w:val="24"/>
          <w:szCs w:val="24"/>
          <w:u w:val="single"/>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Стратегічна ціль D.   Формування екологічно-чистої і безпечної громади</w:t>
      </w:r>
    </w:p>
    <w:p w:rsidR="00000000" w:rsidDel="00000000" w:rsidP="00000000" w:rsidRDefault="00000000" w:rsidRPr="00000000" w14:paraId="00000027">
      <w:pPr>
        <w:tabs>
          <w:tab w:val="left" w:pos="-426"/>
        </w:tabs>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sz w:val="24"/>
          <w:szCs w:val="24"/>
          <w:rtl w:val="0"/>
        </w:rPr>
        <w:t xml:space="preserve">Стратегія розвитку </w:t>
      </w:r>
      <w:r w:rsidDel="00000000" w:rsidR="00000000" w:rsidRPr="00000000">
        <w:rPr>
          <w:rFonts w:ascii="Times New Roman" w:cs="Times New Roman" w:eastAsia="Times New Roman" w:hAnsi="Times New Roman"/>
          <w:color w:val="0d0d0d"/>
          <w:sz w:val="24"/>
          <w:szCs w:val="24"/>
          <w:rtl w:val="0"/>
        </w:rPr>
        <w:t xml:space="preserve">Смідинської територіальної громади </w:t>
      </w:r>
      <w:r w:rsidDel="00000000" w:rsidR="00000000" w:rsidRPr="00000000">
        <w:rPr>
          <w:rFonts w:ascii="Times New Roman" w:cs="Times New Roman" w:eastAsia="Times New Roman" w:hAnsi="Times New Roman"/>
          <w:sz w:val="24"/>
          <w:szCs w:val="24"/>
          <w:rtl w:val="0"/>
        </w:rPr>
        <w:t xml:space="preserve">базується на </w:t>
      </w:r>
      <w:r w:rsidDel="00000000" w:rsidR="00000000" w:rsidRPr="00000000">
        <w:rPr>
          <w:rFonts w:ascii="Times New Roman" w:cs="Times New Roman" w:eastAsia="Times New Roman" w:hAnsi="Times New Roman"/>
          <w:color w:val="003300"/>
          <w:sz w:val="24"/>
          <w:szCs w:val="24"/>
          <w:rtl w:val="0"/>
        </w:rPr>
        <w:t xml:space="preserve">принципах збалансованого</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економічного та соціального розвитку громади, </w:t>
      </w:r>
      <w:r w:rsidDel="00000000" w:rsidR="00000000" w:rsidRPr="00000000">
        <w:rPr>
          <w:rFonts w:ascii="Times New Roman" w:cs="Times New Roman" w:eastAsia="Times New Roman" w:hAnsi="Times New Roman"/>
          <w:color w:val="000000"/>
          <w:sz w:val="24"/>
          <w:szCs w:val="24"/>
          <w:rtl w:val="0"/>
        </w:rPr>
        <w:t xml:space="preserve">раціонального використання ресурсного потенціалу та екологічної безпеки. Тому стратегічні напрями розвитку ТГ включають природоохоронну складову й спрямовані на забезпечення цілей з розвитку екологічно чистої та безпечної громади.</w:t>
      </w:r>
      <w:r w:rsidDel="00000000" w:rsidR="00000000" w:rsidRPr="00000000">
        <w:rPr>
          <w:rtl w:val="0"/>
        </w:rPr>
      </w:r>
    </w:p>
    <w:p w:rsidR="00000000" w:rsidDel="00000000" w:rsidP="00000000" w:rsidRDefault="00000000" w:rsidRPr="00000000" w14:paraId="00000028">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Екологічна ситуація на території ТГ характеризується відносною стабільністю показників. Разом з тим, висока зношеність інфраструктури громади, відсутність системи </w:t>
      </w:r>
      <w:r w:rsidDel="00000000" w:rsidR="00000000" w:rsidRPr="00000000">
        <w:rPr>
          <w:rFonts w:ascii="Times New Roman" w:cs="Times New Roman" w:eastAsia="Times New Roman" w:hAnsi="Times New Roman"/>
          <w:color w:val="000000"/>
          <w:sz w:val="24"/>
          <w:szCs w:val="24"/>
          <w:rtl w:val="0"/>
        </w:rPr>
        <w:t xml:space="preserve">збирання, вивезення, утилізації, захоронення чи переробки твердих побутових відходів</w:t>
      </w:r>
      <w:r w:rsidDel="00000000" w:rsidR="00000000" w:rsidRPr="00000000">
        <w:rPr>
          <w:rFonts w:ascii="Times New Roman" w:cs="Times New Roman" w:eastAsia="Times New Roman" w:hAnsi="Times New Roman"/>
          <w:sz w:val="24"/>
          <w:szCs w:val="24"/>
          <w:rtl w:val="0"/>
        </w:rPr>
        <w:t xml:space="preserve">,  інтенсивна діяльність сільськогосподарських підприємств, інші чиники  в комплексі створюють екологічні загрози для громади. </w:t>
      </w:r>
    </w:p>
    <w:p w:rsidR="00000000" w:rsidDel="00000000" w:rsidP="00000000" w:rsidRDefault="00000000" w:rsidRPr="00000000" w14:paraId="00000029">
      <w:pPr>
        <w:spacing w:after="0" w:before="120" w:lineRule="auto"/>
        <w:ind w:firstLine="708"/>
        <w:jc w:val="both"/>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sz w:val="24"/>
          <w:szCs w:val="24"/>
          <w:rtl w:val="0"/>
        </w:rPr>
        <w:t xml:space="preserve"> Основними екологічними проблемами територіальної громади є неналежне поводження з відходами, стихійні сміттєзвалища, забруднення ґрунтів,  невідповідна якість води та водопостачання. </w:t>
      </w:r>
      <w:r w:rsidDel="00000000" w:rsidR="00000000" w:rsidRPr="00000000">
        <w:rPr>
          <w:rtl w:val="0"/>
        </w:rPr>
      </w:r>
    </w:p>
    <w:p w:rsidR="00000000" w:rsidDel="00000000" w:rsidP="00000000" w:rsidRDefault="00000000" w:rsidRPr="00000000" w14:paraId="0000002A">
      <w:pPr>
        <w:tabs>
          <w:tab w:val="left" w:pos="-426"/>
        </w:tabs>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sz w:val="24"/>
          <w:szCs w:val="24"/>
          <w:rtl w:val="0"/>
        </w:rPr>
        <w:t xml:space="preserve">Стратегія в цілому спрямована на зменшення впливів на довкілля. Цілі Стратегії узгоджуються з державними та регіональним екологічними цілями, визначеними в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Основних засадах (стратегії) державної екологічної політики України на період до 2029 року та «Стратегії розвитку Волинської області на період до 2027 року».</w:t>
      </w:r>
    </w:p>
    <w:p w:rsidR="00000000" w:rsidDel="00000000" w:rsidP="00000000" w:rsidRDefault="00000000" w:rsidRPr="00000000" w14:paraId="0000002B">
      <w:pPr>
        <w:spacing w:after="0" w:before="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Досягнення стратегічної цілі пропонується через наступну структуру операційних цілей та завдань.</w:t>
      </w:r>
    </w:p>
    <w:p w:rsidR="00000000" w:rsidDel="00000000" w:rsidP="00000000" w:rsidRDefault="00000000" w:rsidRPr="00000000" w14:paraId="0000002C">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70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Операційна ціль 4.1.  Налагодження системи поводження з твердими побутовими відходами у всій ТГ</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70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70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Дана ціль</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покликана вирішити  одну з найважливіших на сьогоднішній день екологічних проблем громади, що стосується  поводження з твердими побутовими відходами.  У Смідинський ТГ відсутнє організоване збирання, вивезення, утилізація або захоронення твердих побутових відходів, не має комунального підприємства, спецтехніки, належного контейнерного парку, досвіду у населення укладати договори та сплачувати за вивіз сміття. Для громади це є великим  викликом, та і одночасно можливістю налагодити систему поводження з відходами на основі кращих практик, та у відповідності до чинних вимог.  Беручи до уваги ймовірні сценарії розвитку системи поводження з ТПВ в області на основі проекту регіонального плану управління відходами у Волинській області до 2030р., перед громадою стоїть завдання мінімізувати кількість сміття, яке може  потрапити на полігон. Для цього громада ставить перед собою завдання запровадити роздільний відбір ресурсо-цінних компонентів, небезпечних відходів, мінімізувати кількість органічних відходів, які потенційно можуть потрапити на полігон та підлягатимуть вивезенню. Пропонована система передбачає ряд завдань для подолання вказаних проблем.</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70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Завдання 4.1.1. </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Запровадження роздільного збору сміття, а саме  ресурсо-цінних компонентів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В громаді є контейнери для окремого збирання пластику, скла, паперу. Проте їх недостатньо, не всі мешканці відсортовують ресурсоцінні компоненти, не має культури та традицій сортування   серед населення. Через низьку  вартість вторинної сировини не є можливим охопити віддалені села та отримати економічний ефект від збирання вторинної сировини. Робота в цьому напрямку має бути системною і постійною. Дане завдання   передбачає оновлення контейнерного господарства, запровадження розумного логістичного розміщення контейнерів та місць для збору ресурсо-цінних компонентів та впровадження культури сортування в домашніх господарствах, що вже є стандартом в європейських країнах.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Як результат: </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у кожному населеному пункті будуть доступні та зручні  місця та майданчики збору ресурсо-цінних компонентів, </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будуть працюючі механізми передачі зібраної вторинної сировини суб’єктам підприємницької діяльності, </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кількість домогосподарств, що сортують сміття  і приносять  ресурсно-цінні компоненти на пункти збору вторинної сировини сягатиме  до 80 % від загальної кількості домогосподарств в ТГ </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поступово  буде досягнутий рівень, коли на звалище  буде вивозитись тільки неутилізована частки ТПВ (сміття з контейнерів з вологістю до 60%, неутилізований залишок  сортування), яка підлягає захороненню.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Завдання 4.1.2. Запровадження практик компостування в приватних садибах і комунальних закладах</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За попередніми даними в морфологічному складу відходів Смідинської ТГ органічні рештки складають приблизно 33%. Це майже третина  від загальної кількості відходів, що  продукується в громаді. Ця кількість відходів може потенційно потрапляти на сміттєзвалища.  З огляду того що у ТГ домінуючим є приватний сектор, який має у володіння присадибні ділянки то самим розумним, доцільним, економічно- і екологічно- вигідним способом поводження з органічними відходами є компостування.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Певні практики компостування в громаді є. Проте просто наявність в приватних домогосподарствах місць для зберігання рештків продуктів життєдіяльності тварин і  рослинних відходів не завжди можна вважати компостерами.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Основною метою громади є створення компостерів в кожній садибі, де будуть утилізуватись та перероблятись органічні відходи природним способом, з використанням сучасних правил компостування, що дозволятиме робити це на певному цивілізованому, екологічному та культурному рівні, та стане зручним способом переробки для власників компостерів, зменшить навантаження на звалища та негативний вплив на навколишнє середовище.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Працівники комунальних освітніх закладів, інших установ, сільської ради, старости, громадські активісти та свідомі мешканці громади  мають стати провідниками цієї діяльності. Системна робота через вивчення кращих практик компостування в інших громадах, популяризації ідей компостування шляхом поширення інформації про успішні приклади компостування в садибах ТГ, розміщення компостерів при комунальних закладах, мають заохочувати та спонукати мешканців практикувати компостування. Практики компостування мають стати традиційною, невід’ємною частиною ведення домашнього господарства та  використовуватись практично всіма господарствами.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Завдання 4.1.3. Налагодження співпраці з сусідніми громадами з метою спільного сортування та забезпечення системи збору і вивезення ТПВ</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Відсутність власного комунального господарства, матеріальної технічної бази ТГ для надання послуги зі збору та вивезення ТПВ є передумовою для пошуку, та реалізації конкретних завдань у співробітництві з іншими ТГ та їх комунальними установами чи суб’єктами підприємництва. Керуючись принципами муніципального співробітництва ТГ може вирішувати проблеми по управлінню відходами. Буде  вивчений позитивний досвід інших громад, в тому числі сусідніх, для можливого об’єднання зусиль, пошуку рішень та втілення в життя спільних проектів.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Як результат має бути вивчена економічна доцільність і можливість укладення договорів зі спеціалізованими установами для запровадження послуги зі збору та вивезення  ТПВ, реалізація цих договорів. Після проходження підготовчих етапів з підготовки і затвердження нормативних документів, черговим  етапом буде системна робота з населенням по укладенню договорів та  своєчасна оплата населенням отриманої послуги за збір та вивезення ТПВ.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Завдання 4.1.4. Розробка схеми санітарного очищення громади</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700"/>
        <w:jc w:val="both"/>
        <w:rPr>
          <w:rFonts w:ascii="Times New Roman" w:cs="Times New Roman" w:eastAsia="Times New Roman" w:hAnsi="Times New Roman"/>
          <w:i w:val="0"/>
          <w:smallCaps w:val="0"/>
          <w:strike w:val="0"/>
          <w:color w:val="0d0d0d"/>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color w:val="0d0d0d"/>
          <w:sz w:val="24"/>
          <w:szCs w:val="24"/>
          <w:highlight w:val="white"/>
          <w:u w:val="none"/>
          <w:vertAlign w:val="baseline"/>
          <w:rtl w:val="0"/>
        </w:rPr>
        <w:t xml:space="preserve">Відповідно до п.п. 44.45 частини 1 статті 26 Закону України № «Про місцеве самоврядування в Україні», відповідно до підпункту 4 пункту 2 статті 10 Закону України «Про благоустрій населених пунктів», пункту «б» статті 21 Закону України «Про відходи», Правил надання послуг з вивезення побутових відходів , затверджених постановою Кабінету Міністрів України від 10 грудня 2008 року №1070 (зі змінами),  ДБП Б.2.2 - 6:2013 «Склад та зміст схеми санітарного очищення населеного пункту», в ТГ має бути обов’язково розроблена схема санітарної очистки населених пунктів для  впорядкування питань у сфері поводження з відходами, забезпечення утримання населених пунктів громади в належному санітарному стані, зменшення негативного впливу відходів на довкілля та здоров’я населення. Схема може бути розроблена власними силами, або замовлена у проектній організації.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700"/>
        <w:jc w:val="both"/>
        <w:rPr>
          <w:rFonts w:ascii="Times New Roman" w:cs="Times New Roman" w:eastAsia="Times New Roman" w:hAnsi="Times New Roman"/>
          <w:i w:val="0"/>
          <w:smallCaps w:val="0"/>
          <w:strike w:val="0"/>
          <w:color w:val="333333"/>
          <w:sz w:val="28"/>
          <w:szCs w:val="28"/>
          <w:highlight w:val="white"/>
          <w:u w:val="none"/>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700"/>
        <w:jc w:val="both"/>
        <w:rPr>
          <w:rFonts w:ascii="Times New Roman" w:cs="Times New Roman" w:eastAsia="Times New Roman" w:hAnsi="Times New Roman"/>
          <w:b w:val="1"/>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8"/>
          <w:szCs w:val="28"/>
          <w:highlight w:val="white"/>
          <w:u w:val="none"/>
          <w:vertAlign w:val="baseline"/>
          <w:rtl w:val="0"/>
        </w:rPr>
        <w:t xml:space="preserve">Завдання </w:t>
      </w:r>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4.1.5.  Проведення робіт з утримання паспортизованих сміттєзвалищ,  ліквідація стихійних сміттєзвалищ та їх рекультивація</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70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З</w:t>
      </w:r>
      <w:r w:rsidDel="00000000" w:rsidR="00000000" w:rsidRPr="00000000">
        <w:rPr>
          <w:rFonts w:ascii="Times New Roman" w:cs="Times New Roman" w:eastAsia="Times New Roman" w:hAnsi="Times New Roman"/>
          <w:sz w:val="24"/>
          <w:szCs w:val="24"/>
          <w:rtl w:val="0"/>
        </w:rPr>
        <w:t xml:space="preserve">валища ТПВ можуть здійснювати значний негативний вплив на довкілля. Проблемним є той аспект, що звалища майже у всіх громадах не облаштовані системами захисту підземних вод, атмосферного повітря, ґрунтів у відповідності до вимог чинного законодавства. Тому має проводитись поступова  робота для приведення їх стану   у відповідність до санітарних і екологічних вимог.  Відсутність комплексного підходу в галузі поводження та видалення побутових відходів у населених пунктах громади, призводить  до виникнення та зростання числа стихійних сміттєзвалищ.  </w:t>
      </w:r>
    </w:p>
    <w:p w:rsidR="00000000" w:rsidDel="00000000" w:rsidP="00000000" w:rsidRDefault="00000000" w:rsidRPr="00000000" w14:paraId="0000004E">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виконання завдання, передусім, доцільним є: </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повне охоплення території громади послугами зі збору та вивезення ТПВ;</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створення контейнерного господарства, облаштування контейнерних майданчиків;</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впровадження системи роздільного збирання ТПВ;</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удосконалення нормативно-методичного, організаційного, інформаційного забезпечення сфери поводження з ТПВ;</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підвищення рівня відповідальності та екологічної культури населення.</w:t>
      </w:r>
    </w:p>
    <w:p w:rsidR="00000000" w:rsidDel="00000000" w:rsidP="00000000" w:rsidRDefault="00000000" w:rsidRPr="00000000" w14:paraId="00000054">
      <w:pPr>
        <w:tabs>
          <w:tab w:val="left" w:pos="1134"/>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Операційна ціль 4.2. Розвиток системи благоустрою громади</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Дана ціль має на меті покращити естетику зелених зон на території громади, охороняти цінні природні і туристичні території, а також підвищувати екологічну свідомість мешканців. Вона передбачає, зокрема, благоустрій населених пунктів громади - парки, зони відпочинку, створення приязних зелених територій на території громади, організацію місць масового відпочинку різних вікових та соціальних груп населення.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Завдання 4.2.1. Актуалізація правил благоустрою ОТГ та заходів на їх реалізацію та дотримання.</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Громада потребує перегляду та актуалізації правил благоустрою громади, які  спрямовані</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на створення умов, сприятливих для життєдіяльності людини та здійснення заходів з охорони довкілля.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Смідинська ТГ має Правила, якими визначено  порядок здійснення благоустрою, вимоги до впорядкування територій підприємств, установ, організацій у сфері благоустрою населених пунктів, вимоги до утримання зелених насаджень на об’єктах благоустрою — територіях загального користування, вимоги до санітарного очищення території тощо. На порядку денному переглянути Правила, за потреби внести зміни, ще раз довести населенню громади інформацію про зміст та необхідності їх дотримання.  Одним заходів, що сприятиме реалізації Правил та їх дотримання може стати  запровадження в громаді діяльності громадського екологічного інспектора чи еколога, який   буде мати інструмент для реалізації механізму притягнення до адміністративної відповідальності злісних порушників правил благоустрою (що стосується  поводження з відходами, спалювання сміття тощо). Це безумовне матиме превентивний характер та сприятиме дотримання прийнятих норм та порядку в ТГ.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Завдання 4.2.2. Боротьба з карантинним рослинами</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shd w:fill="ffffff" w:val="clear"/>
        <w:spacing w:after="0" w:line="24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Для забезпечення належного санітарного стану ТГ, збереження здоров’я мешканців, необхідна  боротьба з карантинними рослинами та бур’янами. Найбільш поширені на території Смідинської ТГ рослини карантинних бур’янів - амброзія полинолиста та борщівник Сосновського. </w:t>
      </w:r>
    </w:p>
    <w:p w:rsidR="00000000" w:rsidDel="00000000" w:rsidP="00000000" w:rsidRDefault="00000000" w:rsidRPr="00000000" w14:paraId="00000060">
      <w:pPr>
        <w:shd w:fill="ffffff" w:val="clear"/>
        <w:spacing w:after="0" w:line="24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В рамках завдання будуть проводитись заходи по  виявленню, локалізації та ліквідації небезпечних шкідливих бур’янів, яка буде проводитись  комплексно за участю представників  влади, землевласників та землекористувачів,  оскільки  проблемними ділянками, які займають  шкідливі бур’яни  є  пойми річок,  землі  розпайовані  для  власного використання землекористувачами, що не обробляються, пустирі,  лінії електропередач,  узбіччя шосейних та залізничних доріг. </w:t>
      </w:r>
      <w:r w:rsidDel="00000000" w:rsidR="00000000" w:rsidRPr="00000000">
        <w:rPr>
          <w:rtl w:val="0"/>
        </w:rPr>
      </w:r>
    </w:p>
    <w:p w:rsidR="00000000" w:rsidDel="00000000" w:rsidP="00000000" w:rsidRDefault="00000000" w:rsidRPr="00000000" w14:paraId="00000061">
      <w:pPr>
        <w:spacing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2">
      <w:pPr>
        <w:spacing w:after="0" w:line="240"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Операційна ціль 4.3. Розвиток ефективної системи екологічної освіти</w:t>
      </w:r>
    </w:p>
    <w:p w:rsidR="00000000" w:rsidDel="00000000" w:rsidP="00000000" w:rsidRDefault="00000000" w:rsidRPr="00000000" w14:paraId="00000063">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64">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Дана ціль покликана підвищити культуру дітей, молоді та дорослого населення з питань охорони довкілля та поводження з відходами. Наше суспільство не має традицій мислити і діяти екологічно, сортувати сміття, бережливо ставитись до довкілля. Тому  важливими кроками є просвіта дорослих, впровадження системи освіти учнів в школах з питань охорони довкілля та поводження з відходами. Окремо треба посилити роботу в напрямку розробки та  реалізації молодіжних екологічних проектів.</w:t>
      </w:r>
    </w:p>
    <w:p w:rsidR="00000000" w:rsidDel="00000000" w:rsidP="00000000" w:rsidRDefault="00000000" w:rsidRPr="00000000" w14:paraId="00000065">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Завдання 4.3.1. Проведення інформаційно-просвітницької роботи  для підвищення екологічної свідомості, зміни поведінки та запровадження практик  щодо  роздільного збору сміття</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700"/>
        <w:jc w:val="both"/>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Управління відходами в ТГ повинно включати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інформаційно-просвітницьку діяльність направлену на підвищення у населення культури поводження з відходами та мінімізації їх утворення.</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Досягнення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у населення високої культури поводження з відходами є ключовим фактором успішного впровадження роздільного збирання відходів та мінімізації їх утворення. Особлива важливим цей фактор є для населення сільської місцевості при впровадження компостування органічної частини відходів.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В рамках завдання є доцільним запровадження на постійній основі екологічних  заходів, до прикладу: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Інформаційна кампанія «Сортуй та компостуй!»;</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Щорічна акція «День без пластику»;</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Періодичні екоакції «Зелена планета» тощо.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Завдання 4.3.2. Проведення інформаційно-просвітницької роботи  з питань охорони довкілля серед населення.</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В рамках цього завдання планується інтегрувати екологічну складову до просвітніх і культурних заходів, що будуть проходити в громаді. Особливу увагу планується приділити роботі по сприянню громадським організаціям, навчальним закладам при написанні та реалізації екологічних проектів. Буде продовжена традиція проведення «Зелених толок» по прибиранню населених пунктів (не менше 1 на рік). Доцільно залучати до них ширше коло учасників (влада, громадські діячі, молодь, діти, активні мешканці).  Крім того пропонується в навчальних закладах проводити конкурси та тренінги на екологічну тематику, для отримання дітьми навиків в більш практичній та сучасній формі.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Очікувані результати та показники</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spacing w:after="0" w:line="240" w:lineRule="auto"/>
        <w:ind w:firstLine="7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Реалізація стратегічної цілі 4 «Формування екологічно-чистої та безпечної громади» у середньо- та довгостроковій перспективі призведе до наступних результатів:</w:t>
      </w:r>
    </w:p>
    <w:p w:rsidR="00000000" w:rsidDel="00000000" w:rsidP="00000000" w:rsidRDefault="00000000" w:rsidRPr="00000000" w14:paraId="00000077">
      <w:pPr>
        <w:spacing w:after="0" w:line="240" w:lineRule="auto"/>
        <w:ind w:firstLine="7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05"/>
        </w:tabs>
        <w:spacing w:after="0" w:before="0" w:line="276" w:lineRule="auto"/>
        <w:ind w:left="502" w:right="0" w:hanging="425"/>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Запровадження роздільного збору відходів, практик компостування й припинення їх неорганізованого складування відходів</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05"/>
        </w:tabs>
        <w:spacing w:after="0" w:before="0" w:line="276" w:lineRule="auto"/>
        <w:ind w:left="502" w:right="0" w:hanging="425"/>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Зменшення рівня забрудненості навколишнього середовища в громаді</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right="0" w:hanging="425"/>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Покращення туристичної привабливості ТГ</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02" w:right="0" w:hanging="425"/>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Зміни парадигми мислення населення в сторону більш екологічного способу життя.</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71"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71" w:right="0" w:firstLine="0"/>
        <w:jc w:val="left"/>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Показники ефективності реалізації проектів, що відносяться до операційної цілі 4.1. Впровадження системи управління відходами</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Кількість інфраструктури для роздільного збирання сміття</w:t>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Кількість домогосподарств, що сортують сміття  і приносять  ресурсно-цінні компоненти на пункти збору вторинної сировини</w:t>
      </w:r>
    </w:p>
    <w:p w:rsidR="00000000" w:rsidDel="00000000" w:rsidP="00000000" w:rsidRDefault="00000000" w:rsidRPr="00000000" w14:paraId="00000082">
      <w:pPr>
        <w:numPr>
          <w:ilvl w:val="0"/>
          <w:numId w:val="2"/>
        </w:numPr>
        <w:tabs>
          <w:tab w:val="left" w:pos="443"/>
        </w:tabs>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Наявність схеми санітарної очистки населених пунктів ТГ</w:t>
      </w:r>
    </w:p>
    <w:p w:rsidR="00000000" w:rsidDel="00000000" w:rsidP="00000000" w:rsidRDefault="00000000" w:rsidRPr="00000000" w14:paraId="00000083">
      <w:pPr>
        <w:numPr>
          <w:ilvl w:val="0"/>
          <w:numId w:val="2"/>
        </w:numPr>
        <w:tabs>
          <w:tab w:val="left" w:pos="443"/>
        </w:tabs>
        <w:spacing w:after="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Кількість ліквідованих несанкціонованих звалищ ТПВ </w:t>
      </w:r>
    </w:p>
    <w:p w:rsidR="00000000" w:rsidDel="00000000" w:rsidP="00000000" w:rsidRDefault="00000000" w:rsidRPr="00000000" w14:paraId="00000084">
      <w:pPr>
        <w:numPr>
          <w:ilvl w:val="0"/>
          <w:numId w:val="2"/>
        </w:numPr>
        <w:tabs>
          <w:tab w:val="left" w:pos="443"/>
        </w:tabs>
        <w:spacing w:after="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Кількість рекультивованих сміттєзвалищ</w:t>
      </w:r>
    </w:p>
    <w:p w:rsidR="00000000" w:rsidDel="00000000" w:rsidP="00000000" w:rsidRDefault="00000000" w:rsidRPr="00000000" w14:paraId="00000085">
      <w:pPr>
        <w:numPr>
          <w:ilvl w:val="0"/>
          <w:numId w:val="2"/>
        </w:numPr>
        <w:tabs>
          <w:tab w:val="left" w:pos="443"/>
        </w:tabs>
        <w:spacing w:after="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Кількість заходів втілених в життя щодо санації звалищ і підтримання їх у належному стані </w:t>
      </w:r>
    </w:p>
    <w:p w:rsidR="00000000" w:rsidDel="00000000" w:rsidP="00000000" w:rsidRDefault="00000000" w:rsidRPr="00000000" w14:paraId="00000086">
      <w:pPr>
        <w:numPr>
          <w:ilvl w:val="0"/>
          <w:numId w:val="2"/>
        </w:numPr>
        <w:tabs>
          <w:tab w:val="left" w:pos="443"/>
        </w:tabs>
        <w:spacing w:after="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кількість укладених договорів з домогосподарствами щодо вивезення відходів</w:t>
      </w:r>
    </w:p>
    <w:p w:rsidR="00000000" w:rsidDel="00000000" w:rsidP="00000000" w:rsidRDefault="00000000" w:rsidRPr="00000000" w14:paraId="00000087">
      <w:pPr>
        <w:numPr>
          <w:ilvl w:val="0"/>
          <w:numId w:val="2"/>
        </w:numPr>
        <w:tabs>
          <w:tab w:val="left" w:pos="443"/>
        </w:tabs>
        <w:ind w:left="720" w:hanging="36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Кількість компостерів у приватних домогосподарствах і території ТГ.</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Показники ефективності реалізації проектів, що відносяться до операційної цілі 4.2. Розвиток системи благоустрою громади</w:t>
      </w:r>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Наявність актуалізованих правил благоустрою Смідинської ТГ</w:t>
      </w:r>
    </w:p>
    <w:p w:rsidR="00000000" w:rsidDel="00000000" w:rsidP="00000000" w:rsidRDefault="00000000" w:rsidRPr="00000000" w14:paraId="0000008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Кількість нових чи реконструйованих об’єктів інфраструктури</w:t>
      </w:r>
    </w:p>
    <w:p w:rsidR="00000000" w:rsidDel="00000000" w:rsidP="00000000" w:rsidRDefault="00000000" w:rsidRPr="00000000" w14:paraId="0000008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Кількість заходів, організованих для боротьби з карантинними рослинами</w:t>
      </w:r>
    </w:p>
    <w:p w:rsidR="00000000" w:rsidDel="00000000" w:rsidP="00000000" w:rsidRDefault="00000000" w:rsidRPr="00000000" w14:paraId="0000008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Кількість звернень до землевласників, сільгоспвиробників, ФОПів, установ, організацій з проханням вчинити дії для знешкодження карантинних рослин.</w:t>
      </w:r>
    </w:p>
    <w:p w:rsidR="00000000" w:rsidDel="00000000" w:rsidP="00000000" w:rsidRDefault="00000000" w:rsidRPr="00000000" w14:paraId="0000008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Кількість протоколів про адміністративні правопорушення правил благоустрою</w:t>
      </w:r>
    </w:p>
    <w:p w:rsidR="00000000" w:rsidDel="00000000" w:rsidP="00000000" w:rsidRDefault="00000000" w:rsidRPr="00000000" w14:paraId="0000008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Процент зменшення порушень в сфері благоустрою.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Показники ефективності реалізації проектів, що відносяться до операційної цілі 4.3. Розвиток ефективної системи екологічної освіти</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Свідомість людей змінена, рівень обізнаності підвищена</w:t>
      </w:r>
    </w:p>
    <w:p w:rsidR="00000000" w:rsidDel="00000000" w:rsidP="00000000" w:rsidRDefault="00000000" w:rsidRPr="00000000" w14:paraId="0000009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Кількість проведених освітніх заходів</w:t>
      </w:r>
    </w:p>
    <w:p w:rsidR="00000000" w:rsidDel="00000000" w:rsidP="00000000" w:rsidRDefault="00000000" w:rsidRPr="00000000" w14:paraId="0000009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Кількість людей, що взяли участь в заходах, підвищили компетенцію, отримали нову інформацію</w:t>
      </w:r>
    </w:p>
    <w:p w:rsidR="00000000" w:rsidDel="00000000" w:rsidP="00000000" w:rsidRDefault="00000000" w:rsidRPr="00000000" w14:paraId="0000009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Кількість осіб, що застосовують отримані знання на практиці (сортують сміття, компостують, зменшують кількість відходів в побуті)</w:t>
      </w:r>
    </w:p>
    <w:p w:rsidR="00000000" w:rsidDel="00000000" w:rsidP="00000000" w:rsidRDefault="00000000" w:rsidRPr="00000000" w14:paraId="000000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43"/>
        </w:tabs>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Кількість випадків несанкціонованого поводження із сміттям серед мешканців</w:t>
      </w:r>
    </w:p>
    <w:p w:rsidR="00000000" w:rsidDel="00000000" w:rsidP="00000000" w:rsidRDefault="00000000" w:rsidRPr="00000000" w14:paraId="000000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443"/>
        </w:tabs>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Кількість реалізованих екологічних проектів на рік</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Припущення і ризики</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Для реалізації цілі 4 «Формування екологічно-чистої та безпечної громади» необхідні  такі основні ресурси як  кошти, людський потенціал і час.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Першочерговими в громаді є питанням, що стосуються економічного та соціального розвитку громади. І це правильно. Як свідчить практика, питання і проблеми екології, як правило вирішуються, коли входять в ранг надзвичайних ситуацій, або ж чинять інтенсивний вплив на життя громади.  Низька свідомість екологічна культура, відсутність необхідної інфраструктури, вмінь, знань серед населення є чинниками, які негативно впливатимуть на реалізацію цілей і завдань стратегії. Тому саме системна робота з людьми, поступова, але постійна на протязі досить довгого проміжку часу, об’єднання спільних зусиль влади, громади, бізнесу, приведе до можливостей успішно здійснювати заходи з охорони навколишнього середовища, та покращать, або при наймі на дадуть погіршитись екологічному стану громади.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Щодо фінансування, то з огляду економічної ситуації країни, бюджетної політики та можливостей, то основними джерелами фінансування стратегічної цілі 4 мають стати кошти МТП, ЄБРР, частково їх можна фінансувати за кошти  Фонду охорони навколишнього середовища, бюджету ТГ.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Без широкого залучення мешканців громади реалізація цілі 4 буде неможлива. Мають бути екологічно-свідомими і стати агентами змін представники сільської ради, на чолі з головою, громадські лідери, вчителі, діти, священнослужителі, тобто люди, які мають авторитет та повагу в своєму оточені, щоб бути прикладом, ідейними натхненниками, та активно поширювати інформацію про екологічно-свідоме життя.</w:t>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71" w:hanging="360"/>
      </w:pPr>
      <w:rPr>
        <w:rFonts w:ascii="Noto Sans Symbols" w:cs="Noto Sans Symbols" w:eastAsia="Noto Sans Symbols" w:hAnsi="Noto Sans Symbols"/>
        <w:color w:val="000000"/>
      </w:rPr>
    </w:lvl>
    <w:lvl w:ilvl="1">
      <w:start w:val="1"/>
      <w:numFmt w:val="bullet"/>
      <w:lvlText w:val="o"/>
      <w:lvlJc w:val="left"/>
      <w:pPr>
        <w:ind w:left="1791" w:hanging="360"/>
      </w:pPr>
      <w:rPr>
        <w:rFonts w:ascii="Courier New" w:cs="Courier New" w:eastAsia="Courier New" w:hAnsi="Courier New"/>
      </w:rPr>
    </w:lvl>
    <w:lvl w:ilvl="2">
      <w:start w:val="1"/>
      <w:numFmt w:val="bullet"/>
      <w:lvlText w:val="▪"/>
      <w:lvlJc w:val="left"/>
      <w:pPr>
        <w:ind w:left="2511" w:hanging="360"/>
      </w:pPr>
      <w:rPr>
        <w:rFonts w:ascii="Noto Sans Symbols" w:cs="Noto Sans Symbols" w:eastAsia="Noto Sans Symbols" w:hAnsi="Noto Sans Symbols"/>
      </w:rPr>
    </w:lvl>
    <w:lvl w:ilvl="3">
      <w:start w:val="1"/>
      <w:numFmt w:val="bullet"/>
      <w:lvlText w:val="●"/>
      <w:lvlJc w:val="left"/>
      <w:pPr>
        <w:ind w:left="3231" w:hanging="360"/>
      </w:pPr>
      <w:rPr>
        <w:rFonts w:ascii="Noto Sans Symbols" w:cs="Noto Sans Symbols" w:eastAsia="Noto Sans Symbols" w:hAnsi="Noto Sans Symbols"/>
      </w:rPr>
    </w:lvl>
    <w:lvl w:ilvl="4">
      <w:start w:val="1"/>
      <w:numFmt w:val="bullet"/>
      <w:lvlText w:val="o"/>
      <w:lvlJc w:val="left"/>
      <w:pPr>
        <w:ind w:left="3951" w:hanging="360"/>
      </w:pPr>
      <w:rPr>
        <w:rFonts w:ascii="Courier New" w:cs="Courier New" w:eastAsia="Courier New" w:hAnsi="Courier New"/>
      </w:rPr>
    </w:lvl>
    <w:lvl w:ilvl="5">
      <w:start w:val="1"/>
      <w:numFmt w:val="bullet"/>
      <w:lvlText w:val="▪"/>
      <w:lvlJc w:val="left"/>
      <w:pPr>
        <w:ind w:left="4671" w:hanging="360"/>
      </w:pPr>
      <w:rPr>
        <w:rFonts w:ascii="Noto Sans Symbols" w:cs="Noto Sans Symbols" w:eastAsia="Noto Sans Symbols" w:hAnsi="Noto Sans Symbols"/>
      </w:rPr>
    </w:lvl>
    <w:lvl w:ilvl="6">
      <w:start w:val="1"/>
      <w:numFmt w:val="bullet"/>
      <w:lvlText w:val="●"/>
      <w:lvlJc w:val="left"/>
      <w:pPr>
        <w:ind w:left="5391" w:hanging="360"/>
      </w:pPr>
      <w:rPr>
        <w:rFonts w:ascii="Noto Sans Symbols" w:cs="Noto Sans Symbols" w:eastAsia="Noto Sans Symbols" w:hAnsi="Noto Sans Symbols"/>
      </w:rPr>
    </w:lvl>
    <w:lvl w:ilvl="7">
      <w:start w:val="1"/>
      <w:numFmt w:val="bullet"/>
      <w:lvlText w:val="o"/>
      <w:lvlJc w:val="left"/>
      <w:pPr>
        <w:ind w:left="6111" w:hanging="360"/>
      </w:pPr>
      <w:rPr>
        <w:rFonts w:ascii="Courier New" w:cs="Courier New" w:eastAsia="Courier New" w:hAnsi="Courier New"/>
      </w:rPr>
    </w:lvl>
    <w:lvl w:ilvl="8">
      <w:start w:val="1"/>
      <w:numFmt w:val="bullet"/>
      <w:lvlText w:val="▪"/>
      <w:lvlJc w:val="left"/>
      <w:pPr>
        <w:ind w:left="6831"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4"/>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tabs>
        <w:tab w:val="left" w:pos="709"/>
      </w:tabs>
      <w:spacing w:after="0" w:before="120" w:line="240" w:lineRule="auto"/>
      <w:ind w:left="709" w:hanging="709"/>
    </w:pPr>
    <w:rPr>
      <w:rFonts w:ascii="Arial" w:cs="Arial" w:eastAsia="Arial" w:hAnsi="Arial"/>
      <w:b w:val="1"/>
      <w:i w:val="1"/>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70616F"/>
    <w:rPr>
      <w:rFonts w:ascii="Calibri" w:cs="Times New Roman" w:eastAsia="Calibri" w:hAnsi="Calibri"/>
    </w:rPr>
  </w:style>
  <w:style w:type="paragraph" w:styleId="3">
    <w:name w:val="heading 3"/>
    <w:basedOn w:val="a"/>
    <w:next w:val="a"/>
    <w:link w:val="30"/>
    <w:uiPriority w:val="99"/>
    <w:qFormat w:val="1"/>
    <w:rsid w:val="006E0C93"/>
    <w:pPr>
      <w:keepNext w:val="1"/>
      <w:keepLines w:val="1"/>
      <w:tabs>
        <w:tab w:val="left" w:pos="709"/>
      </w:tabs>
      <w:spacing w:after="0" w:before="120" w:line="240" w:lineRule="auto"/>
      <w:ind w:left="709" w:hanging="709"/>
      <w:outlineLvl w:val="2"/>
    </w:pPr>
    <w:rPr>
      <w:rFonts w:ascii="Arial" w:eastAsia="Times New Roman" w:hAnsi="Arial"/>
      <w:b w:val="1"/>
      <w:bCs w:val="1"/>
      <w:i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TableTitle" w:customStyle="1">
    <w:name w:val="Table Title"/>
    <w:basedOn w:val="a"/>
    <w:next w:val="a"/>
    <w:autoRedefine w:val="1"/>
    <w:qFormat w:val="1"/>
    <w:rsid w:val="000F794E"/>
    <w:pPr>
      <w:keepNext w:val="1"/>
      <w:keepLines w:val="1"/>
      <w:numPr>
        <w:numId w:val="1"/>
      </w:numPr>
      <w:tabs>
        <w:tab w:val="left" w:pos="1843"/>
      </w:tabs>
      <w:suppressAutoHyphens w:val="1"/>
      <w:spacing w:after="120" w:before="120" w:line="240" w:lineRule="auto"/>
      <w:jc w:val="center"/>
    </w:pPr>
    <w:rPr>
      <w:rFonts w:ascii="Arial" w:cs="Arial" w:eastAsia="Times New Roman" w:hAnsi="Arial"/>
      <w:b w:val="1"/>
      <w:bCs w:val="1"/>
      <w:color w:val="0070c0"/>
      <w:szCs w:val="24"/>
    </w:rPr>
  </w:style>
  <w:style w:type="paragraph" w:styleId="Default" w:customStyle="1">
    <w:name w:val="Default"/>
    <w:rsid w:val="00BB016F"/>
    <w:pPr>
      <w:autoSpaceDE w:val="0"/>
      <w:autoSpaceDN w:val="0"/>
      <w:adjustRightInd w:val="0"/>
      <w:spacing w:after="0" w:line="240" w:lineRule="auto"/>
    </w:pPr>
    <w:rPr>
      <w:rFonts w:ascii="Times New Roman" w:cs="Times New Roman" w:hAnsi="Times New Roman"/>
      <w:color w:val="000000"/>
      <w:sz w:val="24"/>
      <w:szCs w:val="24"/>
    </w:rPr>
  </w:style>
  <w:style w:type="paragraph" w:styleId="a3">
    <w:name w:val="List Paragraph"/>
    <w:basedOn w:val="a"/>
    <w:link w:val="a4"/>
    <w:uiPriority w:val="99"/>
    <w:qFormat w:val="1"/>
    <w:rsid w:val="00BC5BA6"/>
    <w:pPr>
      <w:ind w:left="720"/>
      <w:contextualSpacing w:val="1"/>
    </w:pPr>
  </w:style>
  <w:style w:type="character" w:styleId="a4" w:customStyle="1">
    <w:name w:val="Абзац списка Знак"/>
    <w:link w:val="a3"/>
    <w:uiPriority w:val="99"/>
    <w:locked w:val="1"/>
    <w:rsid w:val="00BC5BA6"/>
    <w:rPr>
      <w:rFonts w:ascii="Calibri" w:cs="Times New Roman" w:eastAsia="Calibri" w:hAnsi="Calibri"/>
    </w:rPr>
  </w:style>
  <w:style w:type="character" w:styleId="a5" w:customStyle="1">
    <w:name w:val="Основной текст_"/>
    <w:link w:val="7"/>
    <w:rsid w:val="00BC5BA6"/>
    <w:rPr>
      <w:spacing w:val="3"/>
      <w:sz w:val="21"/>
      <w:szCs w:val="21"/>
      <w:shd w:color="auto" w:fill="ffffff" w:val="clear"/>
    </w:rPr>
  </w:style>
  <w:style w:type="paragraph" w:styleId="7" w:customStyle="1">
    <w:name w:val="Основной текст7"/>
    <w:basedOn w:val="a"/>
    <w:link w:val="a5"/>
    <w:rsid w:val="00BC5BA6"/>
    <w:pPr>
      <w:widowControl w:val="0"/>
      <w:shd w:color="auto" w:fill="ffffff" w:val="clear"/>
      <w:spacing w:after="0" w:line="250" w:lineRule="exact"/>
      <w:ind w:hanging="700"/>
      <w:jc w:val="both"/>
    </w:pPr>
    <w:rPr>
      <w:rFonts w:asciiTheme="minorHAnsi" w:cstheme="minorBidi" w:eastAsiaTheme="minorHAnsi" w:hAnsiTheme="minorHAnsi"/>
      <w:spacing w:val="3"/>
      <w:sz w:val="21"/>
      <w:szCs w:val="21"/>
    </w:rPr>
  </w:style>
  <w:style w:type="character" w:styleId="70" w:customStyle="1">
    <w:name w:val="Основной текст (7)_"/>
    <w:link w:val="71"/>
    <w:rsid w:val="00222C9F"/>
    <w:rPr>
      <w:b w:val="1"/>
      <w:bCs w:val="1"/>
      <w:i w:val="1"/>
      <w:iCs w:val="1"/>
      <w:spacing w:val="1"/>
      <w:sz w:val="21"/>
      <w:szCs w:val="21"/>
      <w:shd w:color="auto" w:fill="ffffff" w:val="clear"/>
    </w:rPr>
  </w:style>
  <w:style w:type="paragraph" w:styleId="71" w:customStyle="1">
    <w:name w:val="Основной текст (7)"/>
    <w:basedOn w:val="a"/>
    <w:link w:val="70"/>
    <w:rsid w:val="00222C9F"/>
    <w:pPr>
      <w:widowControl w:val="0"/>
      <w:shd w:color="auto" w:fill="ffffff" w:val="clear"/>
      <w:spacing w:after="0" w:before="480" w:line="274" w:lineRule="exact"/>
      <w:ind w:hanging="320"/>
      <w:jc w:val="both"/>
    </w:pPr>
    <w:rPr>
      <w:rFonts w:asciiTheme="minorHAnsi" w:cstheme="minorBidi" w:eastAsiaTheme="minorHAnsi" w:hAnsiTheme="minorHAnsi"/>
      <w:b w:val="1"/>
      <w:bCs w:val="1"/>
      <w:i w:val="1"/>
      <w:iCs w:val="1"/>
      <w:spacing w:val="1"/>
      <w:sz w:val="21"/>
      <w:szCs w:val="21"/>
    </w:rPr>
  </w:style>
  <w:style w:type="table" w:styleId="a6">
    <w:name w:val="Table Grid"/>
    <w:basedOn w:val="a1"/>
    <w:uiPriority w:val="39"/>
    <w:rsid w:val="00671491"/>
    <w:pPr>
      <w:spacing w:after="0" w:line="240" w:lineRule="auto"/>
    </w:pPr>
    <w:rPr>
      <w:rFonts w:ascii="Calibri" w:cs="Times New Roman" w:eastAsia="Calibri" w:hAnsi="Calibri"/>
      <w:lang w:val="pl-PL"/>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30" w:customStyle="1">
    <w:name w:val="Заголовок 3 Знак"/>
    <w:basedOn w:val="a0"/>
    <w:link w:val="3"/>
    <w:uiPriority w:val="99"/>
    <w:rsid w:val="006E0C93"/>
    <w:rPr>
      <w:rFonts w:ascii="Arial" w:cs="Times New Roman" w:eastAsia="Times New Roman" w:hAnsi="Arial"/>
      <w:b w:val="1"/>
      <w:bCs w:val="1"/>
      <w:i w:val="1"/>
      <w:sz w:val="20"/>
      <w:szCs w:val="20"/>
    </w:rPr>
  </w:style>
  <w:style w:type="character" w:styleId="2" w:customStyle="1">
    <w:name w:val="Основной текст2"/>
    <w:rsid w:val="00947D4D"/>
    <w:rPr>
      <w:rFonts w:ascii="Times New Roman" w:cs="Times New Roman" w:eastAsia="Times New Roman" w:hAnsi="Times New Roman"/>
      <w:b w:val="0"/>
      <w:bCs w:val="0"/>
      <w:i w:val="0"/>
      <w:iCs w:val="0"/>
      <w:smallCaps w:val="0"/>
      <w:strike w:val="0"/>
      <w:color w:val="000000"/>
      <w:spacing w:val="3"/>
      <w:w w:val="100"/>
      <w:position w:val="0"/>
      <w:sz w:val="21"/>
      <w:szCs w:val="21"/>
      <w:u w:val="single"/>
      <w:shd w:color="auto" w:fill="ffffff" w:val="clear"/>
      <w:lang w:val="uk-UA"/>
    </w:rPr>
  </w:style>
  <w:style w:type="character" w:styleId="0pt" w:customStyle="1">
    <w:name w:val="Основной текст + Полужирный;Курсив;Интервал 0 pt"/>
    <w:rsid w:val="00D3616F"/>
    <w:rPr>
      <w:rFonts w:ascii="Times New Roman" w:cs="Times New Roman" w:eastAsia="Times New Roman" w:hAnsi="Times New Roman"/>
      <w:b w:val="1"/>
      <w:bCs w:val="1"/>
      <w:i w:val="1"/>
      <w:iCs w:val="1"/>
      <w:smallCaps w:val="0"/>
      <w:strike w:val="0"/>
      <w:color w:val="000000"/>
      <w:spacing w:val="1"/>
      <w:w w:val="100"/>
      <w:position w:val="0"/>
      <w:sz w:val="21"/>
      <w:szCs w:val="21"/>
      <w:u w:val="none"/>
      <w:shd w:color="auto" w:fill="ffffff" w:val="clear"/>
      <w:lang w:val="uk-UA"/>
    </w:rPr>
  </w:style>
  <w:style w:type="character" w:styleId="a7">
    <w:name w:val="Strong"/>
    <w:basedOn w:val="a0"/>
    <w:uiPriority w:val="22"/>
    <w:qFormat w:val="1"/>
    <w:rsid w:val="0061551E"/>
    <w:rPr>
      <w:b w:val="1"/>
      <w:bCs w:val="1"/>
    </w:rPr>
  </w:style>
  <w:style w:type="paragraph" w:styleId="a8">
    <w:name w:val="Normal (Web)"/>
    <w:basedOn w:val="a"/>
    <w:uiPriority w:val="99"/>
    <w:semiHidden w:val="1"/>
    <w:unhideWhenUsed w:val="1"/>
    <w:rsid w:val="00F60E8C"/>
    <w:pPr>
      <w:spacing w:after="100" w:afterAutospacing="1" w:before="100" w:beforeAutospacing="1" w:line="240" w:lineRule="auto"/>
    </w:pPr>
    <w:rPr>
      <w:rFonts w:ascii="Times New Roman" w:eastAsia="Times New Roman" w:hAnsi="Times New Roman"/>
      <w:sz w:val="24"/>
      <w:szCs w:val="24"/>
      <w:lang w:eastAsia="uk-UA"/>
    </w:rPr>
  </w:style>
  <w:style w:type="paragraph" w:styleId="a9">
    <w:name w:val="Balloon Text"/>
    <w:basedOn w:val="a"/>
    <w:link w:val="aa"/>
    <w:uiPriority w:val="99"/>
    <w:semiHidden w:val="1"/>
    <w:unhideWhenUsed w:val="1"/>
    <w:rsid w:val="00530917"/>
    <w:pPr>
      <w:spacing w:after="0" w:line="240" w:lineRule="auto"/>
    </w:pPr>
    <w:rPr>
      <w:rFonts w:ascii="Tahoma" w:cs="Tahoma" w:hAnsi="Tahoma"/>
      <w:sz w:val="16"/>
      <w:szCs w:val="16"/>
    </w:rPr>
  </w:style>
  <w:style w:type="character" w:styleId="aa" w:customStyle="1">
    <w:name w:val="Текст выноски Знак"/>
    <w:basedOn w:val="a0"/>
    <w:link w:val="a9"/>
    <w:uiPriority w:val="99"/>
    <w:semiHidden w:val="1"/>
    <w:rsid w:val="00530917"/>
    <w:rPr>
      <w:rFonts w:ascii="Tahoma" w:cs="Tahoma" w:eastAsia="Calibri" w:hAnsi="Tahoma"/>
      <w:sz w:val="16"/>
      <w:szCs w:val="16"/>
    </w:rPr>
  </w:style>
  <w:style w:type="paragraph" w:styleId="ab">
    <w:name w:val="header"/>
    <w:basedOn w:val="a"/>
    <w:link w:val="ac"/>
    <w:uiPriority w:val="99"/>
    <w:unhideWhenUsed w:val="1"/>
    <w:rsid w:val="003465EA"/>
    <w:pPr>
      <w:tabs>
        <w:tab w:val="center" w:pos="4819"/>
        <w:tab w:val="right" w:pos="9639"/>
      </w:tabs>
      <w:spacing w:after="0" w:line="240" w:lineRule="auto"/>
    </w:pPr>
  </w:style>
  <w:style w:type="character" w:styleId="ac" w:customStyle="1">
    <w:name w:val="Верхний колонтитул Знак"/>
    <w:basedOn w:val="a0"/>
    <w:link w:val="ab"/>
    <w:uiPriority w:val="99"/>
    <w:rsid w:val="003465EA"/>
    <w:rPr>
      <w:rFonts w:ascii="Calibri" w:cs="Times New Roman" w:eastAsia="Calibri" w:hAnsi="Calibri"/>
    </w:rPr>
  </w:style>
  <w:style w:type="paragraph" w:styleId="ad">
    <w:name w:val="footer"/>
    <w:basedOn w:val="a"/>
    <w:link w:val="ae"/>
    <w:uiPriority w:val="99"/>
    <w:unhideWhenUsed w:val="1"/>
    <w:rsid w:val="003465EA"/>
    <w:pPr>
      <w:tabs>
        <w:tab w:val="center" w:pos="4819"/>
        <w:tab w:val="right" w:pos="9639"/>
      </w:tabs>
      <w:spacing w:after="0" w:line="240" w:lineRule="auto"/>
    </w:pPr>
  </w:style>
  <w:style w:type="character" w:styleId="ae" w:customStyle="1">
    <w:name w:val="Нижний колонтитул Знак"/>
    <w:basedOn w:val="a0"/>
    <w:link w:val="ad"/>
    <w:uiPriority w:val="99"/>
    <w:rsid w:val="003465EA"/>
    <w:rPr>
      <w:rFonts w:ascii="Calibri" w:cs="Times New Roman" w:eastAsia="Calibri" w:hAnsi="Calibri"/>
    </w:rPr>
  </w:style>
  <w:style w:type="character" w:styleId="af">
    <w:name w:val="Hyperlink"/>
    <w:basedOn w:val="a0"/>
    <w:uiPriority w:val="99"/>
    <w:semiHidden w:val="1"/>
    <w:unhideWhenUsed w:val="1"/>
    <w:rsid w:val="00045DB9"/>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rMl4gB9ur0cerdrK9lQA6h5yvQ==">AMUW2mX2CY8dsyhNYKDtU0b3HzTxuGH2/yER52vftO6eVBt0XBqPrxlCl4Dqox879xWJZ/bKwcbicwCisciEeBmVYi8ngYPa9y1i8CdnTtxCMzJcJneNZ2UI9VYSG/pfTCKQWm0m3i3H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2022-02-09T13:48:00Z</dcterms:created>
  <dc:creator>Користувач Windows</dc:creator>
</cp:coreProperties>
</file>