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BD26" w14:textId="77777777" w:rsidR="00843DD5" w:rsidRPr="00843DD5" w:rsidRDefault="00843DD5" w:rsidP="00843DD5">
      <w:pPr>
        <w:widowControl w:val="0"/>
        <w:pBdr>
          <w:top w:val="nil"/>
          <w:left w:val="nil"/>
          <w:bottom w:val="nil"/>
          <w:right w:val="nil"/>
          <w:between w:val="nil"/>
        </w:pBdr>
        <w:jc w:val="right"/>
        <w:rPr>
          <w:rFonts w:ascii="Times New Roman" w:hAnsi="Times New Roman" w:cs="Times New Roman"/>
          <w:color w:val="000000"/>
          <w:sz w:val="24"/>
          <w:szCs w:val="24"/>
        </w:rPr>
      </w:pPr>
      <w:r w:rsidRPr="00843DD5">
        <w:rPr>
          <w:rFonts w:ascii="Times New Roman" w:hAnsi="Times New Roman" w:cs="Times New Roman"/>
          <w:color w:val="000000"/>
          <w:sz w:val="24"/>
          <w:szCs w:val="24"/>
        </w:rPr>
        <w:t xml:space="preserve">Затверджено  </w:t>
      </w:r>
    </w:p>
    <w:p w14:paraId="3CB223EF" w14:textId="77777777" w:rsidR="00843DD5" w:rsidRPr="00843DD5" w:rsidRDefault="00843DD5" w:rsidP="00843DD5">
      <w:pPr>
        <w:widowControl w:val="0"/>
        <w:pBdr>
          <w:top w:val="nil"/>
          <w:left w:val="nil"/>
          <w:bottom w:val="nil"/>
          <w:right w:val="nil"/>
          <w:between w:val="nil"/>
        </w:pBdr>
        <w:jc w:val="right"/>
        <w:rPr>
          <w:rFonts w:ascii="Times New Roman" w:hAnsi="Times New Roman" w:cs="Times New Roman"/>
          <w:color w:val="000000"/>
          <w:sz w:val="24"/>
          <w:szCs w:val="24"/>
        </w:rPr>
      </w:pPr>
      <w:r w:rsidRPr="00843DD5">
        <w:rPr>
          <w:rFonts w:ascii="Times New Roman" w:hAnsi="Times New Roman" w:cs="Times New Roman"/>
          <w:color w:val="000000"/>
          <w:sz w:val="24"/>
          <w:szCs w:val="24"/>
        </w:rPr>
        <w:t xml:space="preserve">Рішенням виконавчого комітету </w:t>
      </w:r>
    </w:p>
    <w:p w14:paraId="77C1113C" w14:textId="19196C75" w:rsidR="00CB5C83" w:rsidRDefault="00843DD5" w:rsidP="00843DD5">
      <w:pPr>
        <w:widowControl w:val="0"/>
        <w:pBdr>
          <w:top w:val="nil"/>
          <w:left w:val="nil"/>
          <w:bottom w:val="nil"/>
          <w:right w:val="nil"/>
          <w:between w:val="nil"/>
        </w:pBdr>
        <w:jc w:val="right"/>
        <w:rPr>
          <w:color w:val="000000"/>
        </w:rPr>
      </w:pPr>
      <w:r w:rsidRPr="00843DD5">
        <w:rPr>
          <w:rFonts w:ascii="Times New Roman" w:hAnsi="Times New Roman" w:cs="Times New Roman"/>
          <w:color w:val="000000"/>
          <w:sz w:val="24"/>
          <w:szCs w:val="24"/>
        </w:rPr>
        <w:t>№   72   від 25 листопада 2022 року</w:t>
      </w: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1D594CC9">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1D594CC9">
        <w:trPr>
          <w:trHeight w:val="975"/>
        </w:trPr>
        <w:tc>
          <w:tcPr>
            <w:tcW w:w="1555" w:type="dxa"/>
            <w:vMerge/>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Pr="00F76343" w:rsidRDefault="1D594CC9" w:rsidP="1D594CC9">
            <w:pPr>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00F76343">
              <w:rPr>
                <w:rFonts w:ascii="Times New Roman" w:eastAsia="Times New Roman" w:hAnsi="Times New Roman" w:cs="Times New Roman"/>
                <w:b/>
                <w:bCs/>
                <w:color w:val="000000" w:themeColor="text1"/>
                <w:sz w:val="28"/>
                <w:szCs w:val="28"/>
              </w:rPr>
              <w:t xml:space="preserve">Інформаційна картка </w:t>
            </w:r>
          </w:p>
          <w:p w14:paraId="24A66153" w14:textId="0C7CE3DB" w:rsidR="00CB5C83" w:rsidRDefault="00F76343" w:rsidP="1D594CC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F76343">
              <w:rPr>
                <w:rFonts w:ascii="Times New Roman" w:eastAsia="Times New Roman" w:hAnsi="Times New Roman" w:cs="Times New Roman"/>
                <w:b/>
                <w:bCs/>
                <w:color w:val="000000" w:themeColor="text1"/>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131" w:type="dxa"/>
            <w:shd w:val="clear" w:color="auto" w:fill="auto"/>
            <w:tcMar>
              <w:top w:w="100" w:type="dxa"/>
              <w:left w:w="100" w:type="dxa"/>
              <w:bottom w:w="100" w:type="dxa"/>
              <w:right w:w="100" w:type="dxa"/>
            </w:tcMar>
          </w:tcPr>
          <w:p w14:paraId="2C96E052" w14:textId="085B5A8A"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77442B">
              <w:rPr>
                <w:rFonts w:ascii="Times New Roman" w:eastAsia="Times New Roman" w:hAnsi="Times New Roman" w:cs="Times New Roman"/>
                <w:b/>
                <w:color w:val="000000"/>
                <w:sz w:val="28"/>
                <w:szCs w:val="28"/>
              </w:rPr>
              <w:t>33</w:t>
            </w:r>
          </w:p>
          <w:p w14:paraId="1CB842E6" w14:textId="77777777" w:rsidR="00F76343" w:rsidRDefault="00F76343"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50E9BF34" w14:textId="460E00BF" w:rsidR="00F76343" w:rsidRDefault="00F76343"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00202</w:t>
            </w:r>
          </w:p>
          <w:p w14:paraId="2E0A805F" w14:textId="33AD1FD3" w:rsidR="008D0C12" w:rsidRDefault="008D0C12"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153C0777" w:rsidR="00CB5C83" w:rsidRDefault="001D1D04" w:rsidP="007B3FA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Смідинськ</w:t>
            </w:r>
            <w:r w:rsidR="007B3F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сільськ</w:t>
            </w:r>
            <w:r w:rsidR="007B3F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рад</w:t>
            </w:r>
            <w:r w:rsidR="007B3FA6">
              <w:rPr>
                <w:rFonts w:ascii="Times New Roman" w:eastAsia="Times New Roman" w:hAnsi="Times New Roman" w:cs="Times New Roman"/>
                <w:color w:val="000000"/>
                <w:sz w:val="24"/>
                <w:szCs w:val="24"/>
              </w:rPr>
              <w:t>а</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F76343" w:rsidP="005438B1">
            <w:pPr>
              <w:widowControl w:val="0"/>
              <w:spacing w:line="240" w:lineRule="auto"/>
              <w:ind w:left="360" w:right="1280"/>
              <w:rPr>
                <w:rFonts w:ascii="Times New Roman" w:eastAsia="Times New Roman" w:hAnsi="Times New Roman" w:cs="Times New Roman"/>
                <w:sz w:val="24"/>
                <w:szCs w:val="24"/>
              </w:rPr>
            </w:pPr>
            <w:hyperlink r:id="rId5">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2783F36C" w14:textId="77777777" w:rsidR="00B94198" w:rsidRDefault="00B94198" w:rsidP="005438B1">
            <w:pPr>
              <w:widowControl w:val="0"/>
              <w:spacing w:line="240" w:lineRule="auto"/>
              <w:ind w:left="148"/>
              <w:rPr>
                <w:rFonts w:ascii="Times New Roman" w:eastAsia="Times New Roman" w:hAnsi="Times New Roman" w:cs="Times New Roman"/>
                <w:sz w:val="24"/>
                <w:szCs w:val="24"/>
              </w:rPr>
            </w:pPr>
          </w:p>
          <w:p w14:paraId="0C1E45E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2. </w:t>
            </w:r>
            <w:r w:rsidRPr="00B94198">
              <w:rPr>
                <w:rFonts w:ascii="Times New Roman" w:eastAsia="Times New Roman" w:hAnsi="Times New Roman" w:cs="Times New Roman"/>
                <w:b/>
                <w:sz w:val="24"/>
                <w:szCs w:val="24"/>
              </w:rPr>
              <w:t>Віддалені робочі місця</w:t>
            </w:r>
          </w:p>
          <w:p w14:paraId="006BCC2B"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Руднянського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428431A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Рудня, вул. Миру, 14</w:t>
            </w:r>
          </w:p>
          <w:p w14:paraId="64720865"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Журавлинського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05B8F47E"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Журавлине, вул. Перемоги,111</w:t>
            </w:r>
          </w:p>
          <w:p w14:paraId="23884B8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Зачернецького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3EC67E5E" w14:textId="7B31DD93"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 </w:t>
            </w:r>
            <w:proofErr w:type="spellStart"/>
            <w:r w:rsidRPr="00B94198">
              <w:rPr>
                <w:rFonts w:ascii="Times New Roman" w:eastAsia="Times New Roman" w:hAnsi="Times New Roman" w:cs="Times New Roman"/>
                <w:sz w:val="24"/>
                <w:szCs w:val="24"/>
              </w:rPr>
              <w:t>Зачернеччя</w:t>
            </w:r>
            <w:proofErr w:type="spellEnd"/>
            <w:r w:rsidRPr="00B94198">
              <w:rPr>
                <w:rFonts w:ascii="Times New Roman" w:eastAsia="Times New Roman" w:hAnsi="Times New Roman" w:cs="Times New Roman"/>
                <w:sz w:val="24"/>
                <w:szCs w:val="24"/>
              </w:rPr>
              <w:t xml:space="preserve">, вул. </w:t>
            </w:r>
            <w:r w:rsidR="0058428A">
              <w:rPr>
                <w:rFonts w:ascii="Times New Roman" w:eastAsia="Times New Roman" w:hAnsi="Times New Roman" w:cs="Times New Roman"/>
                <w:sz w:val="24"/>
                <w:szCs w:val="24"/>
              </w:rPr>
              <w:t>Незалежності</w:t>
            </w:r>
            <w:r w:rsidRPr="00B94198">
              <w:rPr>
                <w:rFonts w:ascii="Times New Roman" w:eastAsia="Times New Roman" w:hAnsi="Times New Roman" w:cs="Times New Roman"/>
                <w:sz w:val="24"/>
                <w:szCs w:val="24"/>
              </w:rPr>
              <w:t>, 1б</w:t>
            </w:r>
          </w:p>
          <w:p w14:paraId="5FEAAD72"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Графік роботи: </w:t>
            </w:r>
          </w:p>
          <w:p w14:paraId="490CCB5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Понеділок</w:t>
            </w:r>
            <w:r w:rsidRPr="00B94198">
              <w:rPr>
                <w:rFonts w:ascii="Times New Roman" w:eastAsia="Times New Roman" w:hAnsi="Times New Roman" w:cs="Times New Roman"/>
                <w:sz w:val="24"/>
                <w:szCs w:val="24"/>
                <w:lang w:val="ru-RU"/>
              </w:rPr>
              <w:t xml:space="preserve"> - </w:t>
            </w:r>
            <w:r w:rsidRPr="00B94198">
              <w:rPr>
                <w:rFonts w:ascii="Times New Roman" w:eastAsia="Times New Roman" w:hAnsi="Times New Roman" w:cs="Times New Roman"/>
                <w:sz w:val="24"/>
                <w:szCs w:val="24"/>
              </w:rPr>
              <w:t>четвер: 0</w:t>
            </w:r>
            <w:r w:rsidRPr="00B94198">
              <w:rPr>
                <w:rFonts w:ascii="Times New Roman" w:eastAsia="Times New Roman" w:hAnsi="Times New Roman" w:cs="Times New Roman"/>
                <w:sz w:val="24"/>
                <w:szCs w:val="24"/>
                <w:lang w:val="ru-RU"/>
              </w:rPr>
              <w:t>8</w:t>
            </w:r>
            <w:r w:rsidRPr="00B94198">
              <w:rPr>
                <w:rFonts w:ascii="Times New Roman" w:eastAsia="Times New Roman" w:hAnsi="Times New Roman" w:cs="Times New Roman"/>
                <w:sz w:val="24"/>
                <w:szCs w:val="24"/>
              </w:rPr>
              <w:t>.00 – 17.15</w:t>
            </w:r>
          </w:p>
          <w:p w14:paraId="0AE111FC"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w:t>
            </w:r>
            <w:r w:rsidRPr="00B94198">
              <w:rPr>
                <w:rFonts w:ascii="Times New Roman" w:eastAsia="Times New Roman" w:hAnsi="Times New Roman" w:cs="Times New Roman"/>
                <w:sz w:val="24"/>
                <w:szCs w:val="24"/>
                <w:lang w:val="ru-RU"/>
              </w:rPr>
              <w:t>’</w:t>
            </w:r>
            <w:proofErr w:type="spellStart"/>
            <w:r w:rsidRPr="00B94198">
              <w:rPr>
                <w:rFonts w:ascii="Times New Roman" w:eastAsia="Times New Roman" w:hAnsi="Times New Roman" w:cs="Times New Roman"/>
                <w:sz w:val="24"/>
                <w:szCs w:val="24"/>
              </w:rPr>
              <w:t>ятниця</w:t>
            </w:r>
            <w:proofErr w:type="spellEnd"/>
            <w:r w:rsidRPr="00B94198">
              <w:rPr>
                <w:rFonts w:ascii="Times New Roman" w:eastAsia="Times New Roman" w:hAnsi="Times New Roman" w:cs="Times New Roman"/>
                <w:sz w:val="24"/>
                <w:szCs w:val="24"/>
              </w:rPr>
              <w:t>: 08.00 – 16.00</w:t>
            </w:r>
          </w:p>
          <w:p w14:paraId="777BBA6C" w14:textId="77777777" w:rsid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lang w:val="ru-RU"/>
              </w:rPr>
              <w:t>О</w:t>
            </w:r>
            <w:proofErr w:type="spellStart"/>
            <w:r w:rsidRPr="00B94198">
              <w:rPr>
                <w:rFonts w:ascii="Times New Roman" w:eastAsia="Times New Roman" w:hAnsi="Times New Roman" w:cs="Times New Roman"/>
                <w:sz w:val="24"/>
                <w:szCs w:val="24"/>
              </w:rPr>
              <w:t>бідня</w:t>
            </w:r>
            <w:proofErr w:type="spellEnd"/>
            <w:r w:rsidRPr="00B94198">
              <w:rPr>
                <w:rFonts w:ascii="Times New Roman" w:eastAsia="Times New Roman" w:hAnsi="Times New Roman" w:cs="Times New Roman"/>
                <w:sz w:val="24"/>
                <w:szCs w:val="24"/>
              </w:rPr>
              <w:t xml:space="preserve"> перерва: 13.00 – 14.00</w:t>
            </w: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pPr>
              <w:widowControl w:val="0"/>
              <w:pBdr>
                <w:top w:val="nil"/>
                <w:left w:val="nil"/>
                <w:bottom w:val="nil"/>
                <w:right w:val="nil"/>
                <w:between w:val="nil"/>
              </w:pBdr>
              <w:spacing w:line="229" w:lineRule="auto"/>
              <w:ind w:left="-146"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5D5A6DB2" w14:textId="531CA95E" w:rsidR="00F76343" w:rsidRPr="00F76343" w:rsidRDefault="00F76343" w:rsidP="00F76343">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76343">
              <w:rPr>
                <w:rFonts w:ascii="Times New Roman" w:eastAsia="Times New Roman" w:hAnsi="Times New Roman" w:cs="Times New Roman"/>
                <w:color w:val="000000"/>
                <w:sz w:val="24"/>
                <w:szCs w:val="24"/>
              </w:rPr>
              <w:t>Письмова заява</w:t>
            </w:r>
          </w:p>
          <w:p w14:paraId="712F1E9A" w14:textId="755398BA" w:rsidR="00F76343" w:rsidRPr="00F76343" w:rsidRDefault="00F76343" w:rsidP="00F76343">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76343">
              <w:rPr>
                <w:rFonts w:ascii="Times New Roman" w:eastAsia="Times New Roman" w:hAnsi="Times New Roman" w:cs="Times New Roman"/>
                <w:color w:val="000000"/>
                <w:sz w:val="24"/>
                <w:szCs w:val="24"/>
              </w:rPr>
              <w:t>Копія технічного паспорту на об’єкт нерухомого майна</w:t>
            </w:r>
          </w:p>
          <w:p w14:paraId="37B5EB16" w14:textId="43EA2770" w:rsidR="00F76343" w:rsidRPr="00F76343" w:rsidRDefault="00F76343" w:rsidP="00F76343">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F76343">
              <w:rPr>
                <w:rFonts w:ascii="Times New Roman" w:eastAsia="Times New Roman" w:hAnsi="Times New Roman" w:cs="Times New Roman"/>
                <w:color w:val="000000"/>
                <w:sz w:val="24"/>
                <w:szCs w:val="24"/>
              </w:rPr>
              <w:t>Копія документа про державну реєстрацію юридичної особи або фізичної особи-підприємця (для суб’єктів господарювання)</w:t>
            </w:r>
          </w:p>
          <w:p w14:paraId="65EBEA69" w14:textId="26551D0D" w:rsidR="00CB5C83" w:rsidRDefault="00F76343" w:rsidP="00F76343">
            <w:pPr>
              <w:widowControl w:val="0"/>
              <w:pBdr>
                <w:top w:val="nil"/>
                <w:left w:val="nil"/>
                <w:bottom w:val="nil"/>
                <w:right w:val="nil"/>
                <w:between w:val="nil"/>
              </w:pBdr>
              <w:spacing w:before="6" w:line="229" w:lineRule="auto"/>
              <w:ind w:left="128" w:right="9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F76343">
              <w:rPr>
                <w:rFonts w:ascii="Times New Roman" w:eastAsia="Times New Roman" w:hAnsi="Times New Roman" w:cs="Times New Roman"/>
                <w:color w:val="000000"/>
                <w:sz w:val="24"/>
                <w:szCs w:val="24"/>
              </w:rPr>
              <w:t>Копія документів, що підтверджують право власності на об’єкт нерухомого майна</w:t>
            </w:r>
          </w:p>
        </w:tc>
      </w:tr>
      <w:tr w:rsidR="00F76343" w14:paraId="7F3CBAAE" w14:textId="77777777" w:rsidTr="00B94198">
        <w:trPr>
          <w:trHeight w:val="586"/>
        </w:trPr>
        <w:tc>
          <w:tcPr>
            <w:tcW w:w="426" w:type="dxa"/>
            <w:shd w:val="clear" w:color="auto" w:fill="auto"/>
            <w:tcMar>
              <w:top w:w="100" w:type="dxa"/>
              <w:left w:w="100" w:type="dxa"/>
              <w:bottom w:w="100" w:type="dxa"/>
              <w:right w:w="100" w:type="dxa"/>
            </w:tcMar>
          </w:tcPr>
          <w:p w14:paraId="22186121" w14:textId="57D2ADCE" w:rsidR="00F76343" w:rsidRDefault="00F7634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shd w:val="clear" w:color="auto" w:fill="auto"/>
            <w:tcMar>
              <w:top w:w="100" w:type="dxa"/>
              <w:left w:w="100" w:type="dxa"/>
              <w:bottom w:w="100" w:type="dxa"/>
              <w:right w:w="100" w:type="dxa"/>
            </w:tcMar>
          </w:tcPr>
          <w:p w14:paraId="1C530529" w14:textId="30A47272" w:rsidR="00F76343" w:rsidRDefault="00F76343">
            <w:pPr>
              <w:widowControl w:val="0"/>
              <w:pBdr>
                <w:top w:val="nil"/>
                <w:left w:val="nil"/>
                <w:bottom w:val="nil"/>
                <w:right w:val="nil"/>
                <w:between w:val="nil"/>
              </w:pBdr>
              <w:spacing w:line="229" w:lineRule="auto"/>
              <w:ind w:left="-146" w:right="123"/>
              <w:jc w:val="center"/>
              <w:rPr>
                <w:rFonts w:ascii="Times New Roman" w:eastAsia="Times New Roman" w:hAnsi="Times New Roman" w:cs="Times New Roman"/>
                <w:color w:val="000000"/>
                <w:sz w:val="24"/>
                <w:szCs w:val="24"/>
              </w:rPr>
            </w:pPr>
            <w:r w:rsidRPr="00F76343">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33F1B7D3" w14:textId="57155BCF" w:rsidR="00F76343" w:rsidRPr="00F76343" w:rsidRDefault="00F76343" w:rsidP="00F76343">
            <w:pPr>
              <w:widowControl w:val="0"/>
              <w:pBdr>
                <w:top w:val="nil"/>
                <w:left w:val="nil"/>
                <w:bottom w:val="nil"/>
                <w:right w:val="nil"/>
                <w:between w:val="nil"/>
              </w:pBdr>
              <w:spacing w:line="240" w:lineRule="auto"/>
              <w:ind w:left="148"/>
              <w:jc w:val="both"/>
              <w:rPr>
                <w:rFonts w:ascii="Times New Roman" w:eastAsia="Times New Roman" w:hAnsi="Times New Roman" w:cs="Times New Roman"/>
                <w:color w:val="000000"/>
                <w:sz w:val="24"/>
                <w:szCs w:val="24"/>
              </w:rPr>
            </w:pPr>
            <w:r w:rsidRPr="00F76343">
              <w:rPr>
                <w:rFonts w:ascii="Times New Roman" w:eastAsia="Times New Roman" w:hAnsi="Times New Roman" w:cs="Times New Roman"/>
                <w:color w:val="000000"/>
                <w:sz w:val="24"/>
                <w:szCs w:val="24"/>
              </w:rPr>
              <w:t xml:space="preserve">Відомості про обмеження у використанні земель вносяться до Державного земельного кадастру на підставі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F76343">
              <w:rPr>
                <w:rFonts w:ascii="Times New Roman" w:eastAsia="Times New Roman" w:hAnsi="Times New Roman" w:cs="Times New Roman"/>
                <w:color w:val="000000"/>
                <w:sz w:val="24"/>
                <w:szCs w:val="24"/>
              </w:rPr>
              <w:t>режимоутворюючих</w:t>
            </w:r>
            <w:proofErr w:type="spellEnd"/>
            <w:r w:rsidRPr="00F76343">
              <w:rPr>
                <w:rFonts w:ascii="Times New Roman" w:eastAsia="Times New Roman" w:hAnsi="Times New Roman" w:cs="Times New Roman"/>
                <w:color w:val="000000"/>
                <w:sz w:val="24"/>
                <w:szCs w:val="24"/>
              </w:rPr>
              <w:t xml:space="preserve"> об’єктів, проектів землеустрою, що забезпечують еколого-економічне обґрунтування сівозміни та впорядкування угідь, проектів землеустрою щодо відведення земельних ділянок, технічної документації із землеустрою щодо встановлення меж земельної ділянки в натурі (на місцевості), </w:t>
            </w:r>
            <w:r w:rsidRPr="00F76343">
              <w:rPr>
                <w:rFonts w:ascii="Times New Roman" w:eastAsia="Times New Roman" w:hAnsi="Times New Roman" w:cs="Times New Roman"/>
                <w:color w:val="000000"/>
                <w:sz w:val="24"/>
                <w:szCs w:val="24"/>
              </w:rPr>
              <w:lastRenderedPageBreak/>
              <w:t>іншої документації із землеустрою.</w:t>
            </w:r>
          </w:p>
          <w:p w14:paraId="37F9A506" w14:textId="5B25E029" w:rsidR="00F76343" w:rsidRDefault="00F76343" w:rsidP="00F76343">
            <w:pPr>
              <w:widowControl w:val="0"/>
              <w:pBdr>
                <w:top w:val="nil"/>
                <w:left w:val="nil"/>
                <w:bottom w:val="nil"/>
                <w:right w:val="nil"/>
                <w:between w:val="nil"/>
              </w:pBdr>
              <w:spacing w:line="240" w:lineRule="auto"/>
              <w:ind w:left="148"/>
              <w:jc w:val="both"/>
              <w:rPr>
                <w:rFonts w:ascii="Times New Roman" w:eastAsia="Times New Roman" w:hAnsi="Times New Roman" w:cs="Times New Roman"/>
                <w:color w:val="000000"/>
                <w:sz w:val="24"/>
                <w:szCs w:val="24"/>
              </w:rPr>
            </w:pPr>
            <w:r w:rsidRPr="00F76343">
              <w:rPr>
                <w:rFonts w:ascii="Times New Roman" w:eastAsia="Times New Roman" w:hAnsi="Times New Roman" w:cs="Times New Roman"/>
                <w:color w:val="000000"/>
                <w:sz w:val="24"/>
                <w:szCs w:val="24"/>
              </w:rPr>
              <w:t>Надання у користування земельної ділянки здійснюється на підставі технічної документації із землеустрою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561510B0" w14:textId="2E0EF4DA" w:rsidR="00CB5C83" w:rsidRPr="005438B1" w:rsidRDefault="0077442B" w:rsidP="00F76343">
            <w:pPr>
              <w:pStyle w:val="TableParagraph"/>
              <w:tabs>
                <w:tab w:val="left" w:pos="1301"/>
                <w:tab w:val="left" w:pos="2362"/>
                <w:tab w:val="left" w:pos="3173"/>
                <w:tab w:val="left" w:pos="4044"/>
                <w:tab w:val="left" w:pos="5771"/>
              </w:tabs>
              <w:ind w:right="96"/>
              <w:rPr>
                <w:color w:val="000000"/>
                <w:sz w:val="24"/>
                <w:szCs w:val="24"/>
              </w:rPr>
            </w:pPr>
            <w:r w:rsidRPr="0077442B">
              <w:rPr>
                <w:sz w:val="24"/>
              </w:rPr>
              <w:t xml:space="preserve">Рішення </w:t>
            </w:r>
            <w:r>
              <w:rPr>
                <w:sz w:val="24"/>
              </w:rPr>
              <w:t>сільської</w:t>
            </w:r>
            <w:r w:rsidRPr="0077442B">
              <w:rPr>
                <w:sz w:val="24"/>
              </w:rPr>
              <w:t xml:space="preserve"> ради “Про надання дозволу на розроблення </w:t>
            </w:r>
            <w:r w:rsidR="00F76343">
              <w:rPr>
                <w:sz w:val="24"/>
              </w:rPr>
              <w:t xml:space="preserve">технічної </w:t>
            </w:r>
            <w:r w:rsidRPr="0077442B">
              <w:rPr>
                <w:sz w:val="24"/>
              </w:rPr>
              <w:t>документації із землеустрою” або</w:t>
            </w:r>
            <w:r w:rsidR="00F76343">
              <w:rPr>
                <w:sz w:val="24"/>
              </w:rPr>
              <w:t xml:space="preserve"> </w:t>
            </w:r>
            <w:r w:rsidRPr="0077442B">
              <w:rPr>
                <w:sz w:val="24"/>
              </w:rPr>
              <w:t>вмотивоване рішення про</w:t>
            </w:r>
            <w:r w:rsidR="00F76343">
              <w:rPr>
                <w:sz w:val="24"/>
              </w:rPr>
              <w:t xml:space="preserve"> </w:t>
            </w:r>
            <w:r w:rsidRPr="0077442B">
              <w:rPr>
                <w:sz w:val="24"/>
              </w:rPr>
              <w:t>відмову.</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593E238E" w14:textId="77777777" w:rsidR="00EC06A1" w:rsidRPr="00EC06A1" w:rsidRDefault="00EC06A1" w:rsidP="00EC06A1">
            <w:pPr>
              <w:pStyle w:val="TableParagraph"/>
              <w:spacing w:line="272" w:lineRule="exact"/>
              <w:ind w:left="98"/>
              <w:rPr>
                <w:sz w:val="24"/>
              </w:rPr>
            </w:pPr>
            <w:r w:rsidRPr="00EC06A1">
              <w:rPr>
                <w:sz w:val="24"/>
              </w:rPr>
              <w:t>30</w:t>
            </w:r>
            <w:r w:rsidRPr="00EC06A1">
              <w:rPr>
                <w:spacing w:val="-5"/>
                <w:sz w:val="24"/>
              </w:rPr>
              <w:t xml:space="preserve"> </w:t>
            </w:r>
            <w:r w:rsidRPr="00EC06A1">
              <w:rPr>
                <w:sz w:val="24"/>
              </w:rPr>
              <w:t>календарних</w:t>
            </w:r>
            <w:r w:rsidRPr="00EC06A1">
              <w:rPr>
                <w:spacing w:val="-4"/>
                <w:sz w:val="24"/>
              </w:rPr>
              <w:t xml:space="preserve"> </w:t>
            </w:r>
            <w:r w:rsidRPr="00EC06A1">
              <w:rPr>
                <w:sz w:val="24"/>
              </w:rPr>
              <w:t>днів</w:t>
            </w:r>
            <w:r w:rsidRPr="00EC06A1">
              <w:rPr>
                <w:spacing w:val="-5"/>
                <w:sz w:val="24"/>
              </w:rPr>
              <w:t xml:space="preserve"> </w:t>
            </w:r>
            <w:r w:rsidRPr="00EC06A1">
              <w:rPr>
                <w:sz w:val="24"/>
              </w:rPr>
              <w:t>без</w:t>
            </w:r>
            <w:r w:rsidRPr="00EC06A1">
              <w:rPr>
                <w:spacing w:val="-5"/>
                <w:sz w:val="24"/>
              </w:rPr>
              <w:t xml:space="preserve"> </w:t>
            </w:r>
            <w:r w:rsidRPr="00EC06A1">
              <w:rPr>
                <w:sz w:val="24"/>
              </w:rPr>
              <w:t>врахування</w:t>
            </w:r>
            <w:r w:rsidRPr="00EC06A1">
              <w:rPr>
                <w:spacing w:val="-6"/>
                <w:sz w:val="24"/>
              </w:rPr>
              <w:t xml:space="preserve"> </w:t>
            </w:r>
            <w:r w:rsidRPr="00EC06A1">
              <w:rPr>
                <w:sz w:val="24"/>
              </w:rPr>
              <w:t>термінів</w:t>
            </w:r>
            <w:r w:rsidRPr="00EC06A1">
              <w:rPr>
                <w:spacing w:val="-3"/>
                <w:sz w:val="24"/>
              </w:rPr>
              <w:t xml:space="preserve"> </w:t>
            </w:r>
            <w:r w:rsidRPr="00EC06A1">
              <w:rPr>
                <w:sz w:val="24"/>
              </w:rPr>
              <w:t>проведення</w:t>
            </w:r>
            <w:r w:rsidRPr="00EC06A1">
              <w:rPr>
                <w:spacing w:val="-6"/>
                <w:sz w:val="24"/>
              </w:rPr>
              <w:t xml:space="preserve"> </w:t>
            </w:r>
            <w:r w:rsidRPr="00EC06A1">
              <w:rPr>
                <w:sz w:val="24"/>
              </w:rPr>
              <w:t>сесії</w:t>
            </w:r>
          </w:p>
          <w:p w14:paraId="40A0E08F" w14:textId="3FE6F187" w:rsidR="00CB5C83" w:rsidRDefault="00EC06A1"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EC06A1">
              <w:rPr>
                <w:rFonts w:ascii="Times New Roman" w:hAnsi="Times New Roman" w:cs="Times New Roman"/>
                <w:sz w:val="24"/>
              </w:rPr>
              <w:t>міської</w:t>
            </w:r>
            <w:r w:rsidRPr="00EC06A1">
              <w:rPr>
                <w:rFonts w:ascii="Times New Roman" w:hAnsi="Times New Roman" w:cs="Times New Roman"/>
                <w:spacing w:val="-5"/>
                <w:sz w:val="24"/>
              </w:rPr>
              <w:t xml:space="preserve"> </w:t>
            </w:r>
            <w:r w:rsidRPr="00EC06A1">
              <w:rPr>
                <w:rFonts w:ascii="Times New Roman" w:hAnsi="Times New Roman" w:cs="Times New Roman"/>
                <w:sz w:val="24"/>
              </w:rPr>
              <w:t>ради</w:t>
            </w:r>
            <w:r w:rsidRPr="00EC06A1">
              <w:rPr>
                <w:rFonts w:ascii="Times New Roman" w:hAnsi="Times New Roman" w:cs="Times New Roman"/>
                <w:spacing w:val="-6"/>
                <w:sz w:val="24"/>
              </w:rPr>
              <w:t xml:space="preserve"> </w:t>
            </w:r>
            <w:r w:rsidRPr="00EC06A1">
              <w:rPr>
                <w:rFonts w:ascii="Times New Roman" w:hAnsi="Times New Roman" w:cs="Times New Roman"/>
                <w:sz w:val="24"/>
              </w:rPr>
              <w:t>та</w:t>
            </w:r>
            <w:r w:rsidRPr="00EC06A1">
              <w:rPr>
                <w:rFonts w:ascii="Times New Roman" w:hAnsi="Times New Roman" w:cs="Times New Roman"/>
                <w:spacing w:val="-6"/>
                <w:sz w:val="24"/>
              </w:rPr>
              <w:t xml:space="preserve"> </w:t>
            </w:r>
            <w:proofErr w:type="spellStart"/>
            <w:r w:rsidRPr="00EC06A1">
              <w:rPr>
                <w:rFonts w:ascii="Times New Roman" w:hAnsi="Times New Roman" w:cs="Times New Roman"/>
                <w:sz w:val="24"/>
              </w:rPr>
              <w:t>передсесійних</w:t>
            </w:r>
            <w:proofErr w:type="spellEnd"/>
            <w:r w:rsidRPr="00EC06A1">
              <w:rPr>
                <w:rFonts w:ascii="Times New Roman" w:hAnsi="Times New Roman" w:cs="Times New Roman"/>
                <w:spacing w:val="-4"/>
                <w:sz w:val="24"/>
              </w:rPr>
              <w:t xml:space="preserve"> </w:t>
            </w:r>
            <w:r w:rsidRPr="00EC06A1">
              <w:rPr>
                <w:rFonts w:ascii="Times New Roman" w:hAnsi="Times New Roman" w:cs="Times New Roman"/>
                <w:sz w:val="24"/>
              </w:rPr>
              <w:t>обговорень</w:t>
            </w:r>
            <w:r w:rsidRPr="00EC06A1">
              <w:rPr>
                <w:rFonts w:ascii="Times New Roman" w:hAnsi="Times New Roman" w:cs="Times New Roman"/>
                <w:spacing w:val="-5"/>
                <w:sz w:val="24"/>
              </w:rPr>
              <w:t xml:space="preserve"> </w:t>
            </w:r>
            <w:r w:rsidRPr="00EC06A1">
              <w:rPr>
                <w:rFonts w:ascii="Times New Roman" w:hAnsi="Times New Roman" w:cs="Times New Roman"/>
                <w:sz w:val="24"/>
              </w:rPr>
              <w:t>проектів</w:t>
            </w:r>
            <w:r w:rsidRPr="00EC06A1">
              <w:rPr>
                <w:rFonts w:ascii="Times New Roman" w:hAnsi="Times New Roman" w:cs="Times New Roman"/>
                <w:spacing w:val="-3"/>
                <w:sz w:val="24"/>
              </w:rPr>
              <w:t xml:space="preserve"> </w:t>
            </w:r>
            <w:r w:rsidRPr="00EC06A1">
              <w:rPr>
                <w:rFonts w:ascii="Times New Roman" w:hAnsi="Times New Roman" w:cs="Times New Roman"/>
                <w:sz w:val="24"/>
              </w:rPr>
              <w:t>рішень</w:t>
            </w:r>
            <w:r w:rsidRPr="00EC06A1">
              <w:rPr>
                <w:rFonts w:ascii="Times New Roman" w:hAnsi="Times New Roman" w:cs="Times New Roman"/>
                <w:spacing w:val="-3"/>
                <w:sz w:val="24"/>
              </w:rPr>
              <w:t xml:space="preserve"> </w:t>
            </w:r>
            <w:r w:rsidRPr="00EC06A1">
              <w:rPr>
                <w:rFonts w:ascii="Times New Roman" w:hAnsi="Times New Roman" w:cs="Times New Roman"/>
                <w:sz w:val="24"/>
              </w:rPr>
              <w:t>згідно</w:t>
            </w:r>
            <w:r w:rsidRPr="00EC06A1">
              <w:rPr>
                <w:rFonts w:ascii="Times New Roman" w:hAnsi="Times New Roman" w:cs="Times New Roman"/>
                <w:spacing w:val="-4"/>
                <w:sz w:val="24"/>
              </w:rPr>
              <w:t xml:space="preserve"> </w:t>
            </w:r>
            <w:r w:rsidRPr="00EC06A1">
              <w:rPr>
                <w:rFonts w:ascii="Times New Roman" w:hAnsi="Times New Roman" w:cs="Times New Roman"/>
                <w:sz w:val="24"/>
              </w:rPr>
              <w:t>з</w:t>
            </w:r>
            <w:r w:rsidRPr="00EC06A1">
              <w:rPr>
                <w:rFonts w:ascii="Times New Roman" w:hAnsi="Times New Roman" w:cs="Times New Roman"/>
                <w:spacing w:val="-57"/>
                <w:sz w:val="24"/>
              </w:rPr>
              <w:t xml:space="preserve"> </w:t>
            </w:r>
            <w:r w:rsidRPr="00EC06A1">
              <w:rPr>
                <w:rFonts w:ascii="Times New Roman" w:hAnsi="Times New Roman" w:cs="Times New Roman"/>
                <w:sz w:val="24"/>
              </w:rPr>
              <w:t>регламентом</w:t>
            </w:r>
            <w:r w:rsidRPr="00EC06A1">
              <w:rPr>
                <w:rFonts w:ascii="Times New Roman" w:hAnsi="Times New Roman" w:cs="Times New Roman"/>
                <w:spacing w:val="-2"/>
                <w:sz w:val="24"/>
              </w:rPr>
              <w:t xml:space="preserve"> </w:t>
            </w:r>
            <w:r w:rsidRPr="00EC06A1">
              <w:rPr>
                <w:rFonts w:ascii="Times New Roman" w:hAnsi="Times New Roman" w:cs="Times New Roman"/>
                <w:sz w:val="24"/>
              </w:rPr>
              <w:t>роботи</w:t>
            </w:r>
            <w:r w:rsidRPr="00EC06A1">
              <w:rPr>
                <w:rFonts w:ascii="Times New Roman" w:hAnsi="Times New Roman" w:cs="Times New Roman"/>
                <w:spacing w:val="-1"/>
                <w:sz w:val="24"/>
              </w:rPr>
              <w:t xml:space="preserve"> </w:t>
            </w:r>
            <w:r w:rsidRPr="00EC06A1">
              <w:rPr>
                <w:rFonts w:ascii="Times New Roman" w:hAnsi="Times New Roman" w:cs="Times New Roman"/>
                <w:sz w:val="24"/>
              </w:rPr>
              <w:t>ради</w:t>
            </w:r>
            <w:r w:rsidRPr="00EC06A1">
              <w:rPr>
                <w:rFonts w:ascii="Times New Roman" w:hAnsi="Times New Roman" w:cs="Times New Roman"/>
                <w:spacing w:val="-2"/>
                <w:sz w:val="24"/>
              </w:rPr>
              <w:t xml:space="preserve"> </w:t>
            </w:r>
            <w:r w:rsidRPr="00EC06A1">
              <w:rPr>
                <w:rFonts w:ascii="Times New Roman" w:hAnsi="Times New Roman" w:cs="Times New Roman"/>
                <w:sz w:val="24"/>
              </w:rPr>
              <w:t>.</w:t>
            </w:r>
          </w:p>
        </w:tc>
      </w:tr>
      <w:tr w:rsidR="00CB5C83" w14:paraId="7A2F4572" w14:textId="77777777" w:rsidTr="00196B7E">
        <w:trPr>
          <w:trHeight w:val="1390"/>
        </w:trPr>
        <w:tc>
          <w:tcPr>
            <w:tcW w:w="426" w:type="dxa"/>
            <w:shd w:val="clear" w:color="auto" w:fill="auto"/>
            <w:tcMar>
              <w:top w:w="100" w:type="dxa"/>
              <w:left w:w="100" w:type="dxa"/>
              <w:bottom w:w="100" w:type="dxa"/>
              <w:right w:w="100" w:type="dxa"/>
            </w:tcMar>
          </w:tcPr>
          <w:p w14:paraId="31B3383A"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4380DC51"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4190E1B3"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6E2F546F" w14:textId="77777777" w:rsidR="00CB5C83" w:rsidRDefault="00940FC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p w14:paraId="28C7204F" w14:textId="77777777" w:rsidR="00CB5C83" w:rsidRDefault="00940FCA">
            <w:pPr>
              <w:widowControl w:val="0"/>
              <w:pBdr>
                <w:top w:val="nil"/>
                <w:left w:val="nil"/>
                <w:bottom w:val="nil"/>
                <w:right w:val="nil"/>
                <w:between w:val="nil"/>
              </w:pBdr>
              <w:spacing w:before="6" w:line="229" w:lineRule="auto"/>
              <w:ind w:left="121" w:right="10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2.Поштою, електронною поштою - за клопотанням суб'єкта звернення, у разі відмови у наданні послуги.</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69DB4746" w14:textId="77777777" w:rsidR="0077442B" w:rsidRPr="0077442B" w:rsidRDefault="0077442B" w:rsidP="0077442B">
            <w:pPr>
              <w:widowControl w:val="0"/>
              <w:autoSpaceDE w:val="0"/>
              <w:autoSpaceDN w:val="0"/>
              <w:spacing w:line="268" w:lineRule="exact"/>
              <w:ind w:left="109"/>
              <w:rPr>
                <w:rFonts w:ascii="Times New Roman" w:eastAsia="Times New Roman" w:hAnsi="Times New Roman" w:cs="Times New Roman"/>
                <w:sz w:val="24"/>
                <w:lang w:eastAsia="en-US"/>
              </w:rPr>
            </w:pPr>
            <w:r w:rsidRPr="0077442B">
              <w:rPr>
                <w:rFonts w:ascii="Times New Roman" w:eastAsia="Times New Roman" w:hAnsi="Times New Roman" w:cs="Times New Roman"/>
                <w:sz w:val="24"/>
                <w:lang w:eastAsia="en-US"/>
              </w:rPr>
              <w:t>ст.12 Земельного Кодексу України від 25.10.2001р. №2768-III; ст. 24 Закону України «Про державний земельний кадастр» від</w:t>
            </w:r>
          </w:p>
          <w:p w14:paraId="31074750" w14:textId="1C4A3B26" w:rsidR="007B3FA6" w:rsidRDefault="0077442B" w:rsidP="0077442B">
            <w:pPr>
              <w:widowControl w:val="0"/>
              <w:pBdr>
                <w:top w:val="nil"/>
                <w:left w:val="nil"/>
                <w:bottom w:val="nil"/>
                <w:right w:val="nil"/>
                <w:between w:val="nil"/>
              </w:pBdr>
              <w:spacing w:line="229" w:lineRule="auto"/>
              <w:ind w:left="124" w:right="102"/>
              <w:jc w:val="both"/>
              <w:rPr>
                <w:rFonts w:ascii="Times New Roman" w:eastAsia="Times New Roman" w:hAnsi="Times New Roman" w:cs="Times New Roman"/>
                <w:color w:val="000000"/>
                <w:sz w:val="24"/>
                <w:szCs w:val="24"/>
              </w:rPr>
            </w:pPr>
            <w:r w:rsidRPr="0077442B">
              <w:rPr>
                <w:rFonts w:ascii="Times New Roman" w:eastAsia="Times New Roman" w:hAnsi="Times New Roman" w:cs="Times New Roman"/>
                <w:sz w:val="24"/>
                <w:lang w:eastAsia="en-US"/>
              </w:rPr>
              <w:t>07.07.2011р. №3613-IV;</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1500BD"/>
    <w:rsid w:val="001560FF"/>
    <w:rsid w:val="00196B7E"/>
    <w:rsid w:val="001D1D04"/>
    <w:rsid w:val="002C4E69"/>
    <w:rsid w:val="005438B1"/>
    <w:rsid w:val="0058428A"/>
    <w:rsid w:val="006D4992"/>
    <w:rsid w:val="0077442B"/>
    <w:rsid w:val="007B3FA6"/>
    <w:rsid w:val="007D0916"/>
    <w:rsid w:val="00843DD5"/>
    <w:rsid w:val="008D0C12"/>
    <w:rsid w:val="00940FCA"/>
    <w:rsid w:val="009F08ED"/>
    <w:rsid w:val="00B94198"/>
    <w:rsid w:val="00BB5144"/>
    <w:rsid w:val="00CB5C83"/>
    <w:rsid w:val="00EC06A1"/>
    <w:rsid w:val="00F76343"/>
    <w:rsid w:val="1D594C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p@smidynotg.gov.ua" TargetMode="External"/><Relationship Id="rId5" Type="http://schemas.openxmlformats.org/officeDocument/2006/relationships/hyperlink" Target="http://smidynotg.gov.ua/tsnap-tsentr-diy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2409</Words>
  <Characters>1374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2023-04-07T07:32:00Z</cp:lastPrinted>
  <dcterms:created xsi:type="dcterms:W3CDTF">2022-10-28T19:25:00Z</dcterms:created>
  <dcterms:modified xsi:type="dcterms:W3CDTF">2023-04-07T07:33:00Z</dcterms:modified>
</cp:coreProperties>
</file>