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8F82A">
      <w:pPr>
        <w:pStyle w:val="7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>
      <w:pPr>
        <w:pStyle w:val="7"/>
      </w:pPr>
      <w:r>
        <w:t>закупівлі</w:t>
      </w:r>
    </w:p>
    <w:p w14:paraId="4FD28904">
      <w:pPr>
        <w:pStyle w:val="5"/>
        <w:ind w:left="0" w:firstLine="0"/>
        <w:jc w:val="left"/>
        <w:rPr>
          <w:b/>
          <w:sz w:val="30"/>
        </w:rPr>
      </w:pPr>
    </w:p>
    <w:p w14:paraId="5ADF2B67">
      <w:pPr>
        <w:pStyle w:val="5"/>
        <w:spacing w:before="2"/>
        <w:ind w:left="0" w:firstLine="0"/>
        <w:jc w:val="left"/>
        <w:rPr>
          <w:b/>
          <w:sz w:val="25"/>
        </w:rPr>
      </w:pPr>
    </w:p>
    <w:p w14:paraId="3E90FD2A">
      <w:pPr>
        <w:pStyle w:val="9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с</w:t>
      </w:r>
      <w:r>
        <w:rPr>
          <w:sz w:val="24"/>
        </w:rPr>
        <w:t>.</w:t>
      </w:r>
      <w:r>
        <w:rPr>
          <w:spacing w:val="-1"/>
          <w:sz w:val="24"/>
        </w:rPr>
        <w:t xml:space="preserve"> Смідин</w:t>
      </w:r>
      <w:r>
        <w:rPr>
          <w:sz w:val="24"/>
        </w:rPr>
        <w:t>,</w:t>
      </w:r>
      <w:r>
        <w:rPr>
          <w:spacing w:val="-2"/>
          <w:sz w:val="24"/>
        </w:rPr>
        <w:t xml:space="preserve"> 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04332880</w:t>
      </w:r>
    </w:p>
    <w:p w14:paraId="7E0D29E2">
      <w:pPr>
        <w:pStyle w:val="9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</w:pPr>
      <w:r>
        <w:rPr>
          <w:b/>
          <w:sz w:val="24"/>
        </w:rPr>
        <w:t>Назва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закупівлі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зазначенням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закупівельним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словником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(у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разі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поділу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лоти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такі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відомості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повинні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зазначатися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стосовно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кожного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лота)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назви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відповідних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класифікаторів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закупівлі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закупівлі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(лотів)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наявності):</w:t>
      </w:r>
      <w:r>
        <w:rPr>
          <w:b/>
          <w:spacing w:val="1"/>
          <w:sz w:val="24"/>
        </w:rPr>
        <w:t xml:space="preserve"> </w:t>
      </w:r>
      <w:r>
        <w:rPr>
          <w:rFonts w:hint="default"/>
        </w:rPr>
        <w:t>Перець солодкий свіжий, округлої форми, ДСТУ 2659, Огірки свіжі, тепличні, короткоплідні (до 14см), ДСТУ 3247, Помідори (томати) свіжі, тепличні, округлі, ДСТУ 3246, Капуста білоголова свіжа, Кріп свіжий, Петрушка молода свіжа</w:t>
      </w:r>
    </w:p>
    <w:p w14:paraId="31EAC643">
      <w:pPr>
        <w:pStyle w:val="9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>
        <w:rPr>
          <w:b/>
          <w:sz w:val="24"/>
        </w:rPr>
        <w:t>Ідентифікатор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закупівлі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rFonts w:hint="default"/>
        </w:rPr>
        <w:t>UA-2025-04-24-012135-</w:t>
      </w:r>
      <w:r>
        <w:rPr>
          <w:rFonts w:hint="default"/>
          <w:lang w:val="uk-UA"/>
        </w:rPr>
        <w:t xml:space="preserve"> а</w:t>
      </w:r>
    </w:p>
    <w:p w14:paraId="61FB2CFD">
      <w:pPr>
        <w:pStyle w:val="9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>
        <w:rPr>
          <w:b/>
          <w:sz w:val="24"/>
        </w:rPr>
        <w:t>Обґрунтування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технічних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якісних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закупівлі:</w:t>
      </w:r>
      <w:r>
        <w:rPr>
          <w:b/>
          <w:spacing w:val="1"/>
          <w:sz w:val="24"/>
        </w:rPr>
        <w:t xml:space="preserve"> </w:t>
      </w:r>
    </w:p>
    <w:tbl>
      <w:tblPr>
        <w:tblW w:w="13392" w:type="dxa"/>
        <w:tblCellSpacing w:w="15" w:type="dxa"/>
        <w:tblInd w:w="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DFE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2"/>
      </w:tblGrid>
      <w:tr w14:paraId="612D7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E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13332" w:type="dxa"/>
            <w:shd w:val="clear" w:color="auto" w:fill="FDFEFD"/>
            <w:tcMar>
              <w:top w:w="168" w:type="dxa"/>
              <w:left w:w="0" w:type="dxa"/>
              <w:bottom w:w="240" w:type="dxa"/>
              <w:right w:w="0" w:type="dxa"/>
            </w:tcMar>
            <w:vAlign w:val="top"/>
          </w:tcPr>
          <w:p w14:paraId="0D3C15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ascii="Arial" w:hAnsi="Arial" w:eastAsia="Arial" w:cs="Arial"/>
                <w:i w:val="0"/>
                <w:iCs w:val="0"/>
                <w:caps w:val="0"/>
                <w:color w:val="6D6D6D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Перець солодкий свіжий, округлої форми, ДСТУ 2659</w:t>
            </w:r>
          </w:p>
          <w:p w14:paraId="3F02B7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Сорт: округлої форми</w:t>
            </w:r>
          </w:p>
          <w:p w14:paraId="1B1121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Розмір плоду: діаметр не менше 4 см</w:t>
            </w:r>
          </w:p>
          <w:p w14:paraId="24F92E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/>
                <w:color w:val="000000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Відповідність ДСТУ 2659 Очікуване значення: Так</w:t>
            </w:r>
          </w:p>
        </w:tc>
      </w:tr>
      <w:tr w14:paraId="6BA6A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E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13332" w:type="dxa"/>
            <w:tcBorders>
              <w:top w:val="single" w:color="D6D6D6" w:sz="4" w:space="0"/>
            </w:tcBorders>
            <w:shd w:val="clear" w:color="auto" w:fill="FDFEFD"/>
            <w:tcMar>
              <w:top w:w="240" w:type="dxa"/>
              <w:left w:w="0" w:type="dxa"/>
              <w:bottom w:w="240" w:type="dxa"/>
              <w:right w:w="0" w:type="dxa"/>
            </w:tcMar>
            <w:vAlign w:val="top"/>
          </w:tcPr>
          <w:p w14:paraId="2DD09A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Огірки свіжі, тепличні, короткоплідні (до 14см), ДСТУ 3247</w:t>
            </w:r>
          </w:p>
          <w:p w14:paraId="138775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Тип вирощування: тепличні</w:t>
            </w:r>
          </w:p>
          <w:p w14:paraId="074EE0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Розмір плоду: короткоплідні (до 14 см)</w:t>
            </w:r>
          </w:p>
          <w:p w14:paraId="1F7D1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Діаметр плоду: не більше 5,5 см</w:t>
            </w:r>
          </w:p>
          <w:p w14:paraId="050AB9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/>
                <w:color w:val="000000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Відповідність ДСТУ 3247 Очікуване значення: Так</w:t>
            </w:r>
          </w:p>
        </w:tc>
      </w:tr>
      <w:tr w14:paraId="53C4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E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13332" w:type="dxa"/>
            <w:tcBorders>
              <w:top w:val="single" w:color="D6D6D6" w:sz="4" w:space="0"/>
            </w:tcBorders>
            <w:shd w:val="clear" w:color="auto" w:fill="FDFEFD"/>
            <w:tcMar>
              <w:top w:w="240" w:type="dxa"/>
              <w:left w:w="0" w:type="dxa"/>
              <w:bottom w:w="240" w:type="dxa"/>
              <w:right w:w="0" w:type="dxa"/>
            </w:tcMar>
            <w:vAlign w:val="top"/>
          </w:tcPr>
          <w:p w14:paraId="0995B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Помідори (томати) свіжі, тепличні, округлі, ДСТУ 3246</w:t>
            </w:r>
          </w:p>
          <w:p w14:paraId="406C0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Тип вирощування: тепличні</w:t>
            </w:r>
          </w:p>
          <w:p w14:paraId="087662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Вид плоду: округлі</w:t>
            </w:r>
          </w:p>
          <w:p w14:paraId="0D65B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/>
                <w:color w:val="000000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Діаметр плоду: не менше 4 см</w:t>
            </w:r>
          </w:p>
          <w:p w14:paraId="4868C6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Відповідність ДСТУ 3246 Очікуване значення: Так</w:t>
            </w:r>
          </w:p>
          <w:p w14:paraId="431631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/>
                <w:color w:val="000000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Колір: червоний</w:t>
            </w:r>
          </w:p>
        </w:tc>
      </w:tr>
      <w:tr w14:paraId="6965E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E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13332" w:type="dxa"/>
            <w:tcBorders>
              <w:top w:val="single" w:color="D6D6D6" w:sz="4" w:space="0"/>
            </w:tcBorders>
            <w:shd w:val="clear" w:color="auto" w:fill="FDFEFD"/>
            <w:tcMar>
              <w:top w:w="240" w:type="dxa"/>
              <w:left w:w="0" w:type="dxa"/>
              <w:bottom w:w="240" w:type="dxa"/>
              <w:right w:w="0" w:type="dxa"/>
            </w:tcMar>
            <w:vAlign w:val="top"/>
          </w:tcPr>
          <w:p w14:paraId="015611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Капуста білоголова свіжа</w:t>
            </w:r>
          </w:p>
          <w:p w14:paraId="7B8CE0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Строк достигання: ранньостигла</w:t>
            </w:r>
          </w:p>
          <w:p w14:paraId="2F981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/>
                <w:color w:val="000000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Відповідність ДСТУ 7037 Очікуване значення: Так</w:t>
            </w:r>
          </w:p>
        </w:tc>
      </w:tr>
      <w:tr w14:paraId="391CA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E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13332" w:type="dxa"/>
            <w:tcBorders>
              <w:top w:val="single" w:color="D6D6D6" w:sz="4" w:space="0"/>
            </w:tcBorders>
            <w:shd w:val="clear" w:color="auto" w:fill="FDFEFD"/>
            <w:tcMar>
              <w:top w:w="240" w:type="dxa"/>
              <w:left w:w="0" w:type="dxa"/>
              <w:bottom w:w="240" w:type="dxa"/>
              <w:right w:w="0" w:type="dxa"/>
            </w:tcMar>
            <w:vAlign w:val="top"/>
          </w:tcPr>
          <w:p w14:paraId="1638F2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Кріп свіжий</w:t>
            </w:r>
          </w:p>
          <w:p w14:paraId="5DDE4F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Товарний сорт: перший</w:t>
            </w:r>
          </w:p>
          <w:p w14:paraId="5BAA6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Довжина рослин: не менше 10 см</w:t>
            </w:r>
          </w:p>
          <w:p w14:paraId="6A528B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/>
                <w:color w:val="000000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Відповідність ДСТУ 8624 Очікуване значення: Так</w:t>
            </w:r>
          </w:p>
        </w:tc>
      </w:tr>
      <w:tr w14:paraId="67544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E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13332" w:type="dxa"/>
            <w:tcBorders>
              <w:top w:val="single" w:color="D6D6D6" w:sz="4" w:space="0"/>
            </w:tcBorders>
            <w:shd w:val="clear" w:color="auto" w:fill="FDFEFD"/>
            <w:tcMar>
              <w:top w:w="240" w:type="dxa"/>
              <w:left w:w="0" w:type="dxa"/>
              <w:bottom w:w="240" w:type="dxa"/>
              <w:right w:w="0" w:type="dxa"/>
            </w:tcMar>
            <w:vAlign w:val="top"/>
          </w:tcPr>
          <w:p w14:paraId="2D7059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Петрушка молода свіжа</w:t>
            </w:r>
          </w:p>
          <w:p w14:paraId="3DE82E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Різновид: листкова</w:t>
            </w:r>
          </w:p>
          <w:p w14:paraId="3D6840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Довжина рослини: не менше 10 см</w:t>
            </w:r>
          </w:p>
          <w:p w14:paraId="4E3670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  <w:i w:val="0"/>
                <w:iCs w:val="0"/>
                <w:caps/>
                <w:color w:val="000000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6D6D6D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Відповідність ДСТУ 6010 Очікуване значення: Так</w:t>
            </w:r>
          </w:p>
        </w:tc>
      </w:tr>
    </w:tbl>
    <w:p w14:paraId="07A3D2B4">
      <w:pPr>
        <w:pStyle w:val="9"/>
        <w:shd w:val="clear" w:color="auto" w:fill="FDFEFD"/>
        <w:tabs>
          <w:tab w:val="left" w:pos="810"/>
        </w:tabs>
        <w:spacing w:line="259" w:lineRule="auto"/>
        <w:ind w:right="106" w:firstLine="0"/>
        <w:textAlignment w:val="baseline"/>
        <w:rPr>
          <w:b/>
          <w:spacing w:val="1"/>
          <w:sz w:val="24"/>
        </w:rPr>
      </w:pPr>
    </w:p>
    <w:p w14:paraId="06BCD67F">
      <w:pPr>
        <w:pStyle w:val="9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>
        <w:rPr>
          <w:b/>
          <w:bCs/>
          <w:spacing w:val="1"/>
          <w:sz w:val="24"/>
        </w:rPr>
        <w:t>Розмір бюджетного призначення</w:t>
      </w:r>
      <w:r>
        <w:rPr>
          <w:spacing w:val="1"/>
          <w:sz w:val="24"/>
        </w:rPr>
        <w:t xml:space="preserve">: </w:t>
      </w:r>
      <w:r>
        <w:rPr>
          <w:rFonts w:hint="default"/>
          <w:spacing w:val="1"/>
          <w:sz w:val="24"/>
          <w:lang w:val="uk-UA"/>
        </w:rPr>
        <w:t>59 5</w:t>
      </w:r>
      <w:r>
        <w:rPr>
          <w:rFonts w:ascii="Arial" w:hAnsi="Arial" w:cs="Arial"/>
          <w:color w:val="000000"/>
          <w:sz w:val="21"/>
          <w:szCs w:val="21"/>
          <w:lang w:eastAsia="uk-UA"/>
        </w:rPr>
        <w:t>00.00</w:t>
      </w:r>
      <w:r>
        <w:rPr>
          <w:rFonts w:ascii="Arial" w:hAnsi="Arial" w:cs="Arial"/>
          <w:color w:val="000000"/>
          <w:sz w:val="21"/>
          <w:szCs w:val="21"/>
          <w:lang w:eastAsia="uk-UA"/>
        </w:rPr>
        <w:t>грн.</w:t>
      </w:r>
    </w:p>
    <w:p w14:paraId="3C828A68">
      <w:pPr>
        <w:pStyle w:val="9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</w:pPr>
      <w:r>
        <w:rPr>
          <w:b/>
          <w:bCs/>
        </w:rPr>
        <w:t>Очікувана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вартість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предмет</w:t>
      </w:r>
      <w:bookmarkStart w:id="0" w:name="_GoBack"/>
      <w:bookmarkEnd w:id="0"/>
      <w:r>
        <w:rPr>
          <w:b/>
          <w:bCs/>
        </w:rPr>
        <w:t>а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закупівлі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становить:</w:t>
      </w:r>
      <w:r>
        <w:rPr>
          <w:spacing w:val="-9"/>
        </w:rPr>
        <w:t xml:space="preserve"> </w:t>
      </w:r>
      <w:r>
        <w:rPr>
          <w:rFonts w:hint="default"/>
          <w:spacing w:val="-9"/>
          <w:lang w:val="uk-UA"/>
        </w:rPr>
        <w:t>59</w:t>
      </w:r>
      <w:r>
        <w:t xml:space="preserve"> </w:t>
      </w:r>
      <w:r>
        <w:rPr>
          <w:rFonts w:hint="default"/>
          <w:lang w:val="uk-UA"/>
        </w:rPr>
        <w:t>5</w:t>
      </w:r>
      <w:r>
        <w:t>00.00 грн.</w:t>
      </w:r>
    </w:p>
    <w:sectPr>
      <w:type w:val="continuous"/>
      <w:pgSz w:w="11910" w:h="16840"/>
      <w:pgMar w:top="620" w:right="740" w:bottom="280" w:left="1600" w:header="708" w:footer="7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3002D"/>
    <w:multiLevelType w:val="multilevel"/>
    <w:tmpl w:val="5953002D"/>
    <w:lvl w:ilvl="0" w:tentative="0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030910"/>
    <w:rsid w:val="00342E29"/>
    <w:rsid w:val="0045405E"/>
    <w:rsid w:val="00481759"/>
    <w:rsid w:val="004D21D7"/>
    <w:rsid w:val="004F530F"/>
    <w:rsid w:val="00547CAB"/>
    <w:rsid w:val="005E0F51"/>
    <w:rsid w:val="006571FE"/>
    <w:rsid w:val="00706A7A"/>
    <w:rsid w:val="007411D8"/>
    <w:rsid w:val="00943F95"/>
    <w:rsid w:val="00A1182A"/>
    <w:rsid w:val="00CD1E96"/>
    <w:rsid w:val="00DB76B3"/>
    <w:rsid w:val="00DC17BE"/>
    <w:rsid w:val="00E17CC2"/>
    <w:rsid w:val="00F76052"/>
    <w:rsid w:val="00FF19DC"/>
    <w:rsid w:val="5A7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paragraph" w:styleId="2">
    <w:name w:val="heading 1"/>
    <w:basedOn w:val="1"/>
    <w:qFormat/>
    <w:uiPriority w:val="1"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2" w:firstLine="427"/>
      <w:jc w:val="both"/>
    </w:pPr>
    <w:rPr>
      <w:sz w:val="24"/>
      <w:szCs w:val="24"/>
    </w:rPr>
  </w:style>
  <w:style w:type="character" w:styleId="6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Title"/>
    <w:basedOn w:val="1"/>
    <w:qFormat/>
    <w:uiPriority w:val="1"/>
    <w:pPr>
      <w:spacing w:before="1"/>
      <w:ind w:left="164" w:right="169"/>
      <w:jc w:val="center"/>
    </w:pPr>
    <w:rPr>
      <w:b/>
      <w:bCs/>
      <w:sz w:val="28"/>
      <w:szCs w:val="28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02" w:firstLine="427"/>
      <w:jc w:val="both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js-apiid"/>
    <w:basedOn w:val="3"/>
    <w:qFormat/>
    <w:uiPriority w:val="0"/>
  </w:style>
  <w:style w:type="character" w:customStyle="1" w:styleId="12">
    <w:name w:val="itemnam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857</Words>
  <Characters>490</Characters>
  <Lines>4</Lines>
  <Paragraphs>2</Paragraphs>
  <TotalTime>48</TotalTime>
  <ScaleCrop>false</ScaleCrop>
  <LinksUpToDate>false</LinksUpToDate>
  <CharactersWithSpaces>1345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2025-03-27T07:53:00Z</dcterms:created>
  <dc:creator>Marta</dc:creator>
  <cp:lastModifiedBy>RS</cp:lastModifiedBy>
  <dcterms:modified xsi:type="dcterms:W3CDTF">2025-04-25T09:33:49Z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  <property fmtid="{D5CDD505-2E9C-101B-9397-08002B2CF9AE}" pid="5" name="KSOProductBuildVer">
    <vt:lpwstr>1033-12.2.0.20795</vt:lpwstr>
  </property>
  <property fmtid="{D5CDD505-2E9C-101B-9397-08002B2CF9AE}" pid="6" name="ICV">
    <vt:lpwstr>1C64DC58512742B6BEECD09010F1B5D7_12</vt:lpwstr>
  </property>
</Properties>
</file>