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E84480">
        <w:rPr>
          <w:b/>
          <w:sz w:val="28"/>
          <w:szCs w:val="28"/>
          <w:lang w:val="uk-UA"/>
        </w:rPr>
        <w:t>311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</w:t>
      </w:r>
      <w:r w:rsidR="00D32845">
        <w:rPr>
          <w:b/>
          <w:sz w:val="28"/>
          <w:szCs w:val="28"/>
          <w:lang w:val="uk-UA"/>
        </w:rPr>
        <w:t>23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D32845">
        <w:rPr>
          <w:b/>
          <w:sz w:val="28"/>
          <w:szCs w:val="28"/>
          <w:lang w:val="uk-UA"/>
        </w:rPr>
        <w:t>1430,21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 w:rsidR="00D32845">
        <w:rPr>
          <w:sz w:val="28"/>
          <w:szCs w:val="28"/>
          <w:lang w:val="uk-UA"/>
        </w:rPr>
        <w:t xml:space="preserve">одна тисяча чотириста тридцять </w:t>
      </w:r>
      <w:r>
        <w:rPr>
          <w:sz w:val="28"/>
          <w:szCs w:val="28"/>
          <w:lang w:val="uk-UA"/>
        </w:rPr>
        <w:t xml:space="preserve">   грн. </w:t>
      </w:r>
      <w:r w:rsidR="00D32845">
        <w:rPr>
          <w:sz w:val="28"/>
          <w:szCs w:val="28"/>
          <w:lang w:val="uk-UA"/>
        </w:rPr>
        <w:t>21</w:t>
      </w:r>
      <w:r w:rsidRPr="00BD5450">
        <w:rPr>
          <w:sz w:val="28"/>
          <w:szCs w:val="28"/>
          <w:lang w:val="uk-UA"/>
        </w:rPr>
        <w:t xml:space="preserve"> к</w:t>
      </w:r>
      <w:r w:rsidR="00D32845">
        <w:rPr>
          <w:sz w:val="28"/>
          <w:szCs w:val="28"/>
          <w:lang w:val="uk-UA"/>
        </w:rPr>
        <w:t>опійка</w:t>
      </w:r>
      <w:bookmarkStart w:id="0" w:name="_GoBack"/>
      <w:bookmarkEnd w:id="0"/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54E44"/>
    <w:rsid w:val="00390061"/>
    <w:rsid w:val="003C1DE4"/>
    <w:rsid w:val="003C5293"/>
    <w:rsid w:val="00424BF6"/>
    <w:rsid w:val="00433F34"/>
    <w:rsid w:val="004458A6"/>
    <w:rsid w:val="00460E9A"/>
    <w:rsid w:val="00483BFE"/>
    <w:rsid w:val="004A1824"/>
    <w:rsid w:val="004B40D1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68C8"/>
    <w:rsid w:val="00974A0F"/>
    <w:rsid w:val="009758F3"/>
    <w:rsid w:val="0098604C"/>
    <w:rsid w:val="00A01083"/>
    <w:rsid w:val="00A06ABD"/>
    <w:rsid w:val="00A42A96"/>
    <w:rsid w:val="00A52389"/>
    <w:rsid w:val="00A941D5"/>
    <w:rsid w:val="00A945EF"/>
    <w:rsid w:val="00B21DE2"/>
    <w:rsid w:val="00B33604"/>
    <w:rsid w:val="00B6001C"/>
    <w:rsid w:val="00B96B25"/>
    <w:rsid w:val="00BA22C9"/>
    <w:rsid w:val="00BC3D59"/>
    <w:rsid w:val="00BC6434"/>
    <w:rsid w:val="00BD149E"/>
    <w:rsid w:val="00BD5450"/>
    <w:rsid w:val="00C30C91"/>
    <w:rsid w:val="00C63D49"/>
    <w:rsid w:val="00CC5632"/>
    <w:rsid w:val="00CF1089"/>
    <w:rsid w:val="00D32845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84480"/>
    <w:rsid w:val="00EC49C4"/>
    <w:rsid w:val="00EC6CE6"/>
    <w:rsid w:val="00EF7B68"/>
    <w:rsid w:val="00F07D9F"/>
    <w:rsid w:val="00F15834"/>
    <w:rsid w:val="00F3434A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7C83-B06A-4031-9AF8-79FB540B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2025-05-21T13:46:00Z</dcterms:created>
  <dcterms:modified xsi:type="dcterms:W3CDTF">2025-05-21T13:47:00Z</dcterms:modified>
</cp:coreProperties>
</file>